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317FB" w14:textId="77777777" w:rsidR="00855EDE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A8143B">
        <w:rPr>
          <w:rFonts w:ascii="Times New Roman" w:hAnsi="Times New Roman"/>
          <w:b/>
          <w:lang w:val="it-IT"/>
        </w:rPr>
        <w:t xml:space="preserve"> </w:t>
      </w:r>
      <w:r w:rsidR="00BD7168">
        <w:rPr>
          <w:rFonts w:ascii="Times New Roman" w:hAnsi="Times New Roman"/>
          <w:b/>
          <w:lang w:val="it-IT"/>
        </w:rPr>
        <w:t>16 dicembre 2022 n. 186485</w:t>
      </w:r>
      <w:r w:rsidR="00FD29B5">
        <w:rPr>
          <w:rFonts w:ascii="Times New Roman" w:hAnsi="Times New Roman"/>
          <w:b/>
          <w:lang w:val="it-IT"/>
        </w:rPr>
        <w:t xml:space="preserve"> </w:t>
      </w:r>
    </w:p>
    <w:p w14:paraId="1DFBA83A" w14:textId="5F786E0F" w:rsidR="00FD29B5" w:rsidRPr="00BD7168" w:rsidRDefault="00FD29B5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  <w:lang w:val="it-IT"/>
        </w:rPr>
      </w:pPr>
      <w:bookmarkStart w:id="0" w:name="_GoBack"/>
      <w:bookmarkEnd w:id="0"/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BD7168">
        <w:rPr>
          <w:rFonts w:ascii="Times New Roman" w:hAnsi="Times New Roman"/>
          <w:b/>
          <w:i/>
          <w:iCs/>
          <w:sz w:val="22"/>
          <w:szCs w:val="18"/>
          <w:lang w:val="it-IT"/>
        </w:rPr>
        <w:t>KDT 2023</w:t>
      </w:r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FD7351">
      <w:footerReference w:type="default" r:id="rId10"/>
      <w:head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F6243" w14:textId="77777777" w:rsidR="009629BB" w:rsidRDefault="009629BB" w:rsidP="00A01F2F">
      <w:pPr>
        <w:spacing w:after="0" w:line="240" w:lineRule="auto"/>
      </w:pPr>
      <w:r>
        <w:separator/>
      </w:r>
    </w:p>
  </w:endnote>
  <w:endnote w:type="continuationSeparator" w:id="0">
    <w:p w14:paraId="422F7F6E" w14:textId="77777777" w:rsidR="009629BB" w:rsidRDefault="009629BB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213C26EB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855EDE">
          <w:rPr>
            <w:rFonts w:ascii="Times New Roman" w:hAnsi="Times New Roman" w:cs="Times New Roman"/>
            <w:noProof/>
          </w:rPr>
          <w:t>2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3BFED" w14:textId="77777777" w:rsidR="009629BB" w:rsidRDefault="009629BB" w:rsidP="00A01F2F">
      <w:pPr>
        <w:spacing w:after="0" w:line="240" w:lineRule="auto"/>
      </w:pPr>
      <w:r>
        <w:separator/>
      </w:r>
    </w:p>
  </w:footnote>
  <w:footnote w:type="continuationSeparator" w:id="0">
    <w:p w14:paraId="29080638" w14:textId="77777777" w:rsidR="009629BB" w:rsidRDefault="009629BB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B63B4" w14:textId="6CC72EE7" w:rsidR="00391F62" w:rsidRPr="00391F62" w:rsidRDefault="00D00CDE" w:rsidP="00391F62">
    <w:pPr>
      <w:ind w:left="7788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/>
        <w:noProof/>
        <w:sz w:val="32"/>
        <w:lang w:eastAsia="it-IT"/>
      </w:rPr>
      <w:drawing>
        <wp:anchor distT="0" distB="0" distL="0" distR="0" simplePos="0" relativeHeight="251661312" behindDoc="1" locked="0" layoutInCell="1" allowOverlap="1" wp14:anchorId="305F352D" wp14:editId="4F87D07F">
          <wp:simplePos x="0" y="0"/>
          <wp:positionH relativeFrom="page">
            <wp:posOffset>720090</wp:posOffset>
          </wp:positionH>
          <wp:positionV relativeFrom="page">
            <wp:posOffset>448945</wp:posOffset>
          </wp:positionV>
          <wp:extent cx="1793240" cy="481330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F62" w:rsidRPr="00CF4DC9">
      <w:rPr>
        <w:rFonts w:ascii="Times New Roman" w:hAnsi="Times New Roman"/>
        <w:b/>
        <w:i/>
        <w:smallCaps/>
        <w:sz w:val="24"/>
      </w:rPr>
      <w:t xml:space="preserve">Allegato </w:t>
    </w:r>
    <w:r w:rsidR="00391F62"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391F62">
      <w:rPr>
        <w:rFonts w:ascii="Times New Roman" w:hAnsi="Times New Roman" w:cs="Times New Roman"/>
        <w:b/>
        <w:i/>
        <w:sz w:val="24"/>
        <w:szCs w:val="24"/>
      </w:rPr>
      <w:t>8</w:t>
    </w:r>
  </w:p>
  <w:p w14:paraId="788DFF1C" w14:textId="77777777" w:rsidR="00391F62" w:rsidRPr="00CB5B88" w:rsidRDefault="00391F62" w:rsidP="00391F62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59264" behindDoc="0" locked="0" layoutInCell="1" allowOverlap="1" wp14:anchorId="25F0354C" wp14:editId="0B396AF8">
          <wp:simplePos x="0" y="0"/>
          <wp:positionH relativeFrom="column">
            <wp:posOffset>2756655</wp:posOffset>
          </wp:positionH>
          <wp:positionV relativeFrom="paragraph">
            <wp:posOffset>403654</wp:posOffset>
          </wp:positionV>
          <wp:extent cx="716915" cy="716915"/>
          <wp:effectExtent l="0" t="0" r="6985" b="6985"/>
          <wp:wrapSquare wrapText="bothSides"/>
          <wp:docPr id="12" name="Immagine 1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7A80C928" w14:textId="77777777" w:rsidR="00391F62" w:rsidRPr="00CB5B88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9B20AA1" w14:textId="77777777" w:rsidR="00391F62" w:rsidRPr="00CB5B88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7E4E8924" w14:textId="77777777" w:rsidR="00391F62" w:rsidRPr="00824DE1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14:paraId="1B93A0E8" w14:textId="77777777" w:rsidR="00391F62" w:rsidRDefault="00391F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75509"/>
    <w:rsid w:val="000810C4"/>
    <w:rsid w:val="000D4389"/>
    <w:rsid w:val="000D79F5"/>
    <w:rsid w:val="00122B68"/>
    <w:rsid w:val="00137259"/>
    <w:rsid w:val="001B3B4C"/>
    <w:rsid w:val="0023583D"/>
    <w:rsid w:val="002861B2"/>
    <w:rsid w:val="00290B8D"/>
    <w:rsid w:val="002F6940"/>
    <w:rsid w:val="0031269E"/>
    <w:rsid w:val="0033270B"/>
    <w:rsid w:val="00335BA7"/>
    <w:rsid w:val="00346E09"/>
    <w:rsid w:val="0038467B"/>
    <w:rsid w:val="00384948"/>
    <w:rsid w:val="00391F62"/>
    <w:rsid w:val="003A79E4"/>
    <w:rsid w:val="003A7D82"/>
    <w:rsid w:val="003B7AAF"/>
    <w:rsid w:val="004043C1"/>
    <w:rsid w:val="0041356D"/>
    <w:rsid w:val="00423D12"/>
    <w:rsid w:val="0043292D"/>
    <w:rsid w:val="00497C28"/>
    <w:rsid w:val="004B5273"/>
    <w:rsid w:val="005166B1"/>
    <w:rsid w:val="00524709"/>
    <w:rsid w:val="00527BDD"/>
    <w:rsid w:val="0053466F"/>
    <w:rsid w:val="00582513"/>
    <w:rsid w:val="005B0E38"/>
    <w:rsid w:val="00643DC2"/>
    <w:rsid w:val="006527A6"/>
    <w:rsid w:val="006541B9"/>
    <w:rsid w:val="006618C1"/>
    <w:rsid w:val="006A7D0B"/>
    <w:rsid w:val="006C0DED"/>
    <w:rsid w:val="006C5CB9"/>
    <w:rsid w:val="006E13B8"/>
    <w:rsid w:val="007A1F41"/>
    <w:rsid w:val="007E4A33"/>
    <w:rsid w:val="00855EDE"/>
    <w:rsid w:val="008F7736"/>
    <w:rsid w:val="00914EE3"/>
    <w:rsid w:val="0094311D"/>
    <w:rsid w:val="0094505D"/>
    <w:rsid w:val="009478DF"/>
    <w:rsid w:val="00955192"/>
    <w:rsid w:val="009629BB"/>
    <w:rsid w:val="009C1F35"/>
    <w:rsid w:val="009C7400"/>
    <w:rsid w:val="009D7F4A"/>
    <w:rsid w:val="009E3EAB"/>
    <w:rsid w:val="009F57C1"/>
    <w:rsid w:val="00A01F2F"/>
    <w:rsid w:val="00A63524"/>
    <w:rsid w:val="00A8143B"/>
    <w:rsid w:val="00A83289"/>
    <w:rsid w:val="00A83F46"/>
    <w:rsid w:val="00A94EDB"/>
    <w:rsid w:val="00AE073F"/>
    <w:rsid w:val="00B14E4C"/>
    <w:rsid w:val="00B54ADB"/>
    <w:rsid w:val="00B56FF1"/>
    <w:rsid w:val="00B57738"/>
    <w:rsid w:val="00BD7168"/>
    <w:rsid w:val="00C50428"/>
    <w:rsid w:val="00C77885"/>
    <w:rsid w:val="00C821D4"/>
    <w:rsid w:val="00CB0F4A"/>
    <w:rsid w:val="00CB2BBE"/>
    <w:rsid w:val="00CB2EBF"/>
    <w:rsid w:val="00CD7C27"/>
    <w:rsid w:val="00CF4DC9"/>
    <w:rsid w:val="00D00CDE"/>
    <w:rsid w:val="00D02CBE"/>
    <w:rsid w:val="00D10B2A"/>
    <w:rsid w:val="00D36E99"/>
    <w:rsid w:val="00D73590"/>
    <w:rsid w:val="00DA7022"/>
    <w:rsid w:val="00DC563C"/>
    <w:rsid w:val="00E95C55"/>
    <w:rsid w:val="00EB0690"/>
    <w:rsid w:val="00F3211C"/>
    <w:rsid w:val="00F72F3F"/>
    <w:rsid w:val="00F74188"/>
    <w:rsid w:val="00F95EA0"/>
    <w:rsid w:val="00FC6A5C"/>
    <w:rsid w:val="00FD29B5"/>
    <w:rsid w:val="00FD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1F1757-4964-4C59-92E0-E413EF80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Giulio Aloia</cp:lastModifiedBy>
  <cp:revision>23</cp:revision>
  <cp:lastPrinted>2018-07-31T16:56:00Z</cp:lastPrinted>
  <dcterms:created xsi:type="dcterms:W3CDTF">2022-01-04T12:12:00Z</dcterms:created>
  <dcterms:modified xsi:type="dcterms:W3CDTF">2023-03-01T11:37:00Z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