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8503" w14:textId="77777777" w:rsidR="00A26DB4" w:rsidRPr="00A26DB4" w:rsidRDefault="00A26DB4" w:rsidP="00A26DB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Elementi utili alla v</w:t>
      </w:r>
      <w:r w:rsidRPr="00A26DB4">
        <w:rPr>
          <w:rFonts w:ascii="Times New Roman" w:hAnsi="Times New Roman" w:cs="Times New Roman"/>
          <w:b/>
          <w:sz w:val="24"/>
          <w:szCs w:val="24"/>
        </w:rPr>
        <w:t>erifica dell’intensità massima di aiuto</w:t>
      </w:r>
    </w:p>
    <w:p w14:paraId="5E65B17C" w14:textId="77777777" w:rsidR="00A26DB4" w:rsidRDefault="00A26DB4" w:rsidP="00A26DB4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7E56C360" w14:textId="3F7A2E2D" w:rsidR="00015084" w:rsidRDefault="00015084" w:rsidP="00995201">
      <w:pPr>
        <w:spacing w:after="600"/>
        <w:jc w:val="both"/>
        <w:rPr>
          <w:rFonts w:ascii="Times New Roman" w:hAnsi="Times New Roman" w:cs="Times New Roman"/>
          <w:sz w:val="24"/>
          <w:szCs w:val="24"/>
        </w:rPr>
      </w:pPr>
      <w:r w:rsidRPr="002D2E5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fini della verifica dell’intensità massima di aiuto concedibile, la quantificazione dell’equivalente sovvenzione lordo del finanziamento agevolato viene effettuata secondo quanto previsto dalla </w:t>
      </w:r>
      <w:r w:rsidRPr="002D2E56">
        <w:rPr>
          <w:rFonts w:ascii="Times New Roman" w:hAnsi="Times New Roman" w:cs="Times New Roman"/>
          <w:sz w:val="24"/>
          <w:szCs w:val="24"/>
        </w:rPr>
        <w:t xml:space="preserve">Comunicazione </w:t>
      </w:r>
      <w:r>
        <w:rPr>
          <w:rFonts w:ascii="Times New Roman" w:hAnsi="Times New Roman" w:cs="Times New Roman"/>
          <w:sz w:val="24"/>
          <w:szCs w:val="24"/>
        </w:rPr>
        <w:t xml:space="preserve">della Commissione relativa alla revisione del metodo di fissazione dei tassi di riferimento e di attualizzazione (2008/C 14/02). Tale Comunicazione </w:t>
      </w:r>
      <w:r w:rsidRPr="002D2E56">
        <w:rPr>
          <w:rFonts w:ascii="Times New Roman" w:hAnsi="Times New Roman" w:cs="Times New Roman"/>
          <w:sz w:val="24"/>
          <w:szCs w:val="24"/>
        </w:rPr>
        <w:t>prevede che il tasso di riferimento sia definito a partire dal tasso base (</w:t>
      </w:r>
      <w:r>
        <w:rPr>
          <w:rFonts w:ascii="Times New Roman" w:hAnsi="Times New Roman" w:cs="Times New Roman"/>
          <w:sz w:val="24"/>
          <w:szCs w:val="24"/>
        </w:rPr>
        <w:t>fissato</w:t>
      </w:r>
      <w:r w:rsidRPr="002D2E56">
        <w:rPr>
          <w:rFonts w:ascii="Times New Roman" w:hAnsi="Times New Roman" w:cs="Times New Roman"/>
          <w:sz w:val="24"/>
          <w:szCs w:val="24"/>
        </w:rPr>
        <w:t xml:space="preserve"> dalla Commissione europea e pubblicato nel sito internet:</w:t>
      </w:r>
      <w:r w:rsidR="00290948">
        <w:t xml:space="preserve"> </w:t>
      </w:r>
      <w:hyperlink r:id="rId8" w:history="1">
        <w:r w:rsidR="00290948" w:rsidRPr="005202B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https://ec.europa.eu/competition-policy/state-aid/legislation/reference-discount-rates-and-recovery-interest-rates/reference-and-discount-rates_en</w:t>
        </w:r>
      </w:hyperlink>
      <w:r w:rsidRPr="00015084">
        <w:rPr>
          <w:rFonts w:ascii="Times New Roman" w:hAnsi="Times New Roman" w:cs="Times New Roman"/>
          <w:sz w:val="24"/>
          <w:szCs w:val="24"/>
        </w:rPr>
        <w:t>),</w:t>
      </w:r>
      <w:r w:rsidRPr="002D2E56">
        <w:rPr>
          <w:rFonts w:ascii="Times New Roman" w:hAnsi="Times New Roman" w:cs="Times New Roman"/>
          <w:sz w:val="24"/>
          <w:szCs w:val="24"/>
        </w:rPr>
        <w:t xml:space="preserve"> aggiungendo un margine, in termini di punti base, </w:t>
      </w:r>
      <w:r>
        <w:rPr>
          <w:rFonts w:ascii="Times New Roman" w:hAnsi="Times New Roman" w:cs="Times New Roman"/>
          <w:sz w:val="24"/>
          <w:szCs w:val="24"/>
        </w:rPr>
        <w:t>stabilito</w:t>
      </w:r>
      <w:r w:rsidRPr="002D2E56">
        <w:rPr>
          <w:rFonts w:ascii="Times New Roman" w:hAnsi="Times New Roman" w:cs="Times New Roman"/>
          <w:sz w:val="24"/>
          <w:szCs w:val="24"/>
        </w:rPr>
        <w:t xml:space="preserve"> in funzione del rating dell’impresa e delle garanzie offerte, secondo quanto indicato nella tabella riportata nella Comunicazione stessa</w:t>
      </w:r>
      <w:r w:rsidR="00A97F40">
        <w:rPr>
          <w:rFonts w:ascii="Times New Roman" w:hAnsi="Times New Roman" w:cs="Times New Roman"/>
          <w:sz w:val="24"/>
          <w:szCs w:val="24"/>
        </w:rPr>
        <w:t>, come di seguito esposto:</w:t>
      </w:r>
    </w:p>
    <w:p w14:paraId="61923834" w14:textId="77777777" w:rsidR="00015084" w:rsidRPr="00561BC7" w:rsidRDefault="00015084" w:rsidP="00015084">
      <w:pPr>
        <w:pStyle w:val="Paragrafoelenco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BC7">
        <w:rPr>
          <w:rFonts w:ascii="Times New Roman" w:hAnsi="Times New Roman" w:cs="Times New Roman"/>
          <w:sz w:val="24"/>
          <w:szCs w:val="24"/>
          <w:u w:val="single"/>
        </w:rPr>
        <w:t xml:space="preserve">Rating dell’impresa </w:t>
      </w:r>
    </w:p>
    <w:p w14:paraId="41830652" w14:textId="77777777" w:rsidR="00015084" w:rsidRDefault="00015084" w:rsidP="00015084">
      <w:pPr>
        <w:pStyle w:val="Paragrafoelenc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Il rating dell’impresa deve essere</w:t>
      </w:r>
      <w:r w:rsidRPr="00B729A0">
        <w:rPr>
          <w:rFonts w:ascii="Times New Roman" w:hAnsi="Times New Roman" w:cs="Times New Roman"/>
          <w:sz w:val="24"/>
          <w:szCs w:val="24"/>
        </w:rPr>
        <w:t xml:space="preserve"> determinato considera</w:t>
      </w:r>
      <w:r>
        <w:rPr>
          <w:rFonts w:ascii="Times New Roman" w:hAnsi="Times New Roman" w:cs="Times New Roman"/>
          <w:sz w:val="24"/>
          <w:szCs w:val="24"/>
        </w:rPr>
        <w:t xml:space="preserve">ndo sia il rischio associato alla 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singola impresa sia il rischio associato al </w:t>
      </w:r>
      <w:r w:rsidRPr="002D2E56">
        <w:rPr>
          <w:rFonts w:ascii="Times New Roman" w:hAnsi="Times New Roman" w:cs="Times New Roman"/>
          <w:sz w:val="24"/>
          <w:szCs w:val="24"/>
          <w:lang w:eastAsia="it-IT"/>
        </w:rPr>
        <w:t>contesto settoriale e geografico in cui l’impresa opera</w:t>
      </w:r>
      <w:r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5A96530D" w14:textId="70038273" w:rsidR="00A26DB4" w:rsidRDefault="00015084" w:rsidP="00015084">
      <w:pPr>
        <w:pStyle w:val="Paragrafoelenc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Il rischio associato alla singola impresa viene definito</w:t>
      </w:r>
      <w:r w:rsidR="00A26DB4">
        <w:rPr>
          <w:rFonts w:ascii="Times New Roman" w:hAnsi="Times New Roman" w:cs="Times New Roman"/>
          <w:sz w:val="24"/>
          <w:szCs w:val="24"/>
        </w:rPr>
        <w:t xml:space="preserve"> in relazione alle seguenti categorie di rating attribuite al soggetto proponente in funzione dei punteggi conseguiti dagli elementi di cui all’allegato n. </w:t>
      </w:r>
      <w:r w:rsidR="00700A64">
        <w:rPr>
          <w:rFonts w:ascii="Times New Roman" w:hAnsi="Times New Roman" w:cs="Times New Roman"/>
          <w:sz w:val="24"/>
          <w:szCs w:val="24"/>
        </w:rPr>
        <w:t>9</w:t>
      </w:r>
      <w:r w:rsidR="00A26DB4">
        <w:rPr>
          <w:rFonts w:ascii="Times New Roman" w:hAnsi="Times New Roman" w:cs="Times New Roman"/>
          <w:sz w:val="24"/>
          <w:szCs w:val="24"/>
        </w:rPr>
        <w:t>, lettera a, punto 3, “</w:t>
      </w:r>
      <w:r w:rsidR="00A26DB4" w:rsidRPr="002E75CD">
        <w:rPr>
          <w:rFonts w:ascii="Times New Roman" w:hAnsi="Times New Roman" w:cs="Times New Roman"/>
          <w:i/>
          <w:sz w:val="24"/>
          <w:szCs w:val="24"/>
        </w:rPr>
        <w:t>Solidità economico-finanziaria</w:t>
      </w:r>
      <w:r w:rsidR="00A26DB4">
        <w:rPr>
          <w:rFonts w:ascii="Times New Roman" w:hAnsi="Times New Roman" w:cs="Times New Roman"/>
          <w:sz w:val="24"/>
          <w:szCs w:val="24"/>
        </w:rPr>
        <w:t>” come segue:</w:t>
      </w:r>
    </w:p>
    <w:p w14:paraId="53FCFCB4" w14:textId="77777777" w:rsidR="00A26DB4" w:rsidRPr="00A26DB4" w:rsidRDefault="00322D84" w:rsidP="00A26D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26DB4" w:rsidRPr="00A26DB4">
        <w:rPr>
          <w:rFonts w:ascii="Times New Roman" w:hAnsi="Times New Roman" w:cs="Times New Roman"/>
          <w:sz w:val="24"/>
          <w:szCs w:val="24"/>
        </w:rPr>
        <w:t xml:space="preserve">ottimo”, per un punteggio </w:t>
      </w:r>
      <w:r w:rsidR="00A26DB4">
        <w:rPr>
          <w:rFonts w:ascii="Times New Roman" w:hAnsi="Times New Roman" w:cs="Times New Roman"/>
          <w:sz w:val="24"/>
          <w:szCs w:val="24"/>
        </w:rPr>
        <w:t xml:space="preserve">compreso tra </w:t>
      </w:r>
      <w:r w:rsidR="00F6411D">
        <w:rPr>
          <w:rFonts w:ascii="Times New Roman" w:hAnsi="Times New Roman" w:cs="Times New Roman"/>
          <w:sz w:val="24"/>
          <w:szCs w:val="24"/>
        </w:rPr>
        <w:t xml:space="preserve">27 </w:t>
      </w:r>
      <w:r w:rsidR="00A26DB4">
        <w:rPr>
          <w:rFonts w:ascii="Times New Roman" w:hAnsi="Times New Roman" w:cs="Times New Roman"/>
          <w:sz w:val="24"/>
          <w:szCs w:val="24"/>
        </w:rPr>
        <w:t xml:space="preserve">e </w:t>
      </w:r>
      <w:r w:rsidR="00F6411D">
        <w:rPr>
          <w:rFonts w:ascii="Times New Roman" w:hAnsi="Times New Roman" w:cs="Times New Roman"/>
          <w:sz w:val="24"/>
          <w:szCs w:val="24"/>
        </w:rPr>
        <w:t>16</w:t>
      </w:r>
      <w:r w:rsidR="00A26DB4">
        <w:rPr>
          <w:rFonts w:ascii="Times New Roman" w:hAnsi="Times New Roman" w:cs="Times New Roman"/>
          <w:sz w:val="24"/>
          <w:szCs w:val="24"/>
        </w:rPr>
        <w:t>;</w:t>
      </w:r>
    </w:p>
    <w:p w14:paraId="2B775D35" w14:textId="77777777" w:rsidR="00A26DB4" w:rsidRPr="00A26DB4" w:rsidRDefault="00322D84" w:rsidP="00A26D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26DB4" w:rsidRPr="00A26DB4">
        <w:rPr>
          <w:rFonts w:ascii="Times New Roman" w:hAnsi="Times New Roman" w:cs="Times New Roman"/>
          <w:sz w:val="24"/>
          <w:szCs w:val="24"/>
        </w:rPr>
        <w:t xml:space="preserve">buono”, per un punteggio inferiore a </w:t>
      </w:r>
      <w:r w:rsidR="00F6411D">
        <w:rPr>
          <w:rFonts w:ascii="Times New Roman" w:hAnsi="Times New Roman" w:cs="Times New Roman"/>
          <w:sz w:val="24"/>
          <w:szCs w:val="24"/>
        </w:rPr>
        <w:t>16</w:t>
      </w:r>
      <w:r w:rsidR="00F6411D" w:rsidRPr="00A26DB4">
        <w:rPr>
          <w:rFonts w:ascii="Times New Roman" w:hAnsi="Times New Roman" w:cs="Times New Roman"/>
          <w:sz w:val="24"/>
          <w:szCs w:val="24"/>
        </w:rPr>
        <w:t xml:space="preserve"> </w:t>
      </w:r>
      <w:r w:rsidR="00A26DB4" w:rsidRPr="00A26DB4">
        <w:rPr>
          <w:rFonts w:ascii="Times New Roman" w:hAnsi="Times New Roman" w:cs="Times New Roman"/>
          <w:sz w:val="24"/>
          <w:szCs w:val="24"/>
        </w:rPr>
        <w:t xml:space="preserve">e fino a </w:t>
      </w:r>
      <w:r w:rsidR="00F6411D">
        <w:rPr>
          <w:rFonts w:ascii="Times New Roman" w:hAnsi="Times New Roman" w:cs="Times New Roman"/>
          <w:sz w:val="24"/>
          <w:szCs w:val="24"/>
        </w:rPr>
        <w:t>11</w:t>
      </w:r>
      <w:r w:rsidR="00A26DB4">
        <w:rPr>
          <w:rFonts w:ascii="Times New Roman" w:hAnsi="Times New Roman" w:cs="Times New Roman"/>
          <w:sz w:val="24"/>
          <w:szCs w:val="24"/>
        </w:rPr>
        <w:t>;</w:t>
      </w:r>
    </w:p>
    <w:p w14:paraId="1D3F8F9A" w14:textId="77777777" w:rsidR="00A26DB4" w:rsidRPr="00A26DB4" w:rsidRDefault="00322D84" w:rsidP="00A26D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26DB4" w:rsidRPr="00A26DB4">
        <w:rPr>
          <w:rFonts w:ascii="Times New Roman" w:hAnsi="Times New Roman" w:cs="Times New Roman"/>
          <w:sz w:val="24"/>
          <w:szCs w:val="24"/>
        </w:rPr>
        <w:t xml:space="preserve">soddisfacente”, per un punteggio inferiore a </w:t>
      </w:r>
      <w:r w:rsidR="00F6411D">
        <w:rPr>
          <w:rFonts w:ascii="Times New Roman" w:hAnsi="Times New Roman" w:cs="Times New Roman"/>
          <w:sz w:val="24"/>
          <w:szCs w:val="24"/>
        </w:rPr>
        <w:t>11</w:t>
      </w:r>
      <w:r w:rsidR="00F6411D" w:rsidRPr="00A26DB4">
        <w:rPr>
          <w:rFonts w:ascii="Times New Roman" w:hAnsi="Times New Roman" w:cs="Times New Roman"/>
          <w:sz w:val="24"/>
          <w:szCs w:val="24"/>
        </w:rPr>
        <w:t xml:space="preserve"> </w:t>
      </w:r>
      <w:r w:rsidR="00A26DB4" w:rsidRPr="00A26DB4">
        <w:rPr>
          <w:rFonts w:ascii="Times New Roman" w:hAnsi="Times New Roman" w:cs="Times New Roman"/>
          <w:sz w:val="24"/>
          <w:szCs w:val="24"/>
        </w:rPr>
        <w:t>e fino a 3,2</w:t>
      </w:r>
      <w:r w:rsidR="00A26DB4">
        <w:rPr>
          <w:rFonts w:ascii="Times New Roman" w:hAnsi="Times New Roman" w:cs="Times New Roman"/>
          <w:sz w:val="24"/>
          <w:szCs w:val="24"/>
        </w:rPr>
        <w:t>;</w:t>
      </w:r>
    </w:p>
    <w:p w14:paraId="2A74B627" w14:textId="77777777" w:rsidR="00A26DB4" w:rsidRPr="00A26DB4" w:rsidRDefault="00A26DB4" w:rsidP="00A26DB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</w:rPr>
      </w:pPr>
      <w:r w:rsidRPr="00A26DB4">
        <w:rPr>
          <w:rFonts w:ascii="Times New Roman" w:hAnsi="Times New Roman" w:cs="Times New Roman"/>
          <w:sz w:val="24"/>
          <w:szCs w:val="24"/>
        </w:rPr>
        <w:t>“scarso” pe</w:t>
      </w:r>
      <w:r>
        <w:rPr>
          <w:rFonts w:ascii="Times New Roman" w:hAnsi="Times New Roman" w:cs="Times New Roman"/>
          <w:sz w:val="24"/>
          <w:szCs w:val="24"/>
        </w:rPr>
        <w:t>r un punteggio inferiore a 3,2.</w:t>
      </w:r>
    </w:p>
    <w:p w14:paraId="5A7CBA47" w14:textId="77777777" w:rsidR="003D780C" w:rsidRDefault="00A26DB4" w:rsidP="00015084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A26DB4">
        <w:rPr>
          <w:rFonts w:ascii="Times New Roman" w:hAnsi="Times New Roman" w:cs="Times New Roman"/>
          <w:sz w:val="24"/>
          <w:szCs w:val="24"/>
        </w:rPr>
        <w:t xml:space="preserve">La categoria “scarso” è riferita ad un punteggio che comporta la non presentabilità della domanda di agevolazioni. </w:t>
      </w:r>
    </w:p>
    <w:p w14:paraId="7E0313E6" w14:textId="77777777" w:rsidR="008D3396" w:rsidRDefault="00A26DB4" w:rsidP="00015084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61B5C">
        <w:rPr>
          <w:rFonts w:ascii="Times New Roman" w:hAnsi="Times New Roman" w:cs="Times New Roman"/>
          <w:sz w:val="24"/>
          <w:szCs w:val="24"/>
        </w:rPr>
        <w:t>Qualora</w:t>
      </w:r>
      <w:r w:rsidRPr="00A26DB4">
        <w:rPr>
          <w:rFonts w:ascii="Times New Roman" w:hAnsi="Times New Roman" w:cs="Times New Roman"/>
          <w:sz w:val="24"/>
          <w:szCs w:val="24"/>
        </w:rPr>
        <w:t xml:space="preserve"> la suddetta verifica dovesse evidenziare il superamento dell’intensità massima, il </w:t>
      </w:r>
      <w:r w:rsidRPr="00A26DB4">
        <w:rPr>
          <w:rFonts w:ascii="Times New Roman" w:hAnsi="Times New Roman" w:cs="Times New Roman"/>
          <w:i/>
          <w:iCs/>
          <w:sz w:val="24"/>
          <w:szCs w:val="24"/>
        </w:rPr>
        <w:t xml:space="preserve">Soggetto gestore </w:t>
      </w:r>
      <w:r w:rsidRPr="00A26DB4">
        <w:rPr>
          <w:rFonts w:ascii="Times New Roman" w:hAnsi="Times New Roman" w:cs="Times New Roman"/>
          <w:sz w:val="24"/>
          <w:szCs w:val="24"/>
        </w:rPr>
        <w:t>riduce, fino a tale concorrenza, il contributo diretto alla spesa.</w:t>
      </w:r>
    </w:p>
    <w:p w14:paraId="571F6427" w14:textId="77777777" w:rsidR="009277F8" w:rsidRDefault="009277F8" w:rsidP="00015084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A5200E9" w14:textId="77777777" w:rsidR="00015084" w:rsidRPr="00561BC7" w:rsidRDefault="00015084" w:rsidP="00015084">
      <w:pPr>
        <w:pStyle w:val="Paragrafoelenco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1BC7">
        <w:rPr>
          <w:rFonts w:ascii="Times New Roman" w:hAnsi="Times New Roman" w:cs="Times New Roman"/>
          <w:sz w:val="24"/>
          <w:szCs w:val="24"/>
          <w:u w:val="single"/>
        </w:rPr>
        <w:t xml:space="preserve">Livello della garanzia </w:t>
      </w:r>
    </w:p>
    <w:p w14:paraId="66F9D531" w14:textId="37C4870F" w:rsidR="00015084" w:rsidRDefault="00015084" w:rsidP="00015084">
      <w:pPr>
        <w:pStyle w:val="Paragrafoelenc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142E7">
        <w:rPr>
          <w:rFonts w:ascii="Times New Roman" w:hAnsi="Times New Roman" w:cs="Times New Roman"/>
          <w:sz w:val="24"/>
          <w:szCs w:val="24"/>
        </w:rPr>
        <w:t>l livello della garanzia prestata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42E7">
        <w:rPr>
          <w:rFonts w:ascii="Times New Roman" w:hAnsi="Times New Roman" w:cs="Times New Roman"/>
          <w:sz w:val="24"/>
          <w:szCs w:val="24"/>
        </w:rPr>
        <w:t xml:space="preserve">in termini di perdita in caso di inadempimento </w:t>
      </w:r>
      <w:r>
        <w:rPr>
          <w:rFonts w:ascii="Times New Roman" w:hAnsi="Times New Roman" w:cs="Times New Roman"/>
          <w:sz w:val="24"/>
          <w:szCs w:val="24"/>
        </w:rPr>
        <w:t xml:space="preserve">(LGD), deve essere definito </w:t>
      </w:r>
      <w:r w:rsidRPr="00E142E7">
        <w:rPr>
          <w:rFonts w:ascii="Times New Roman" w:hAnsi="Times New Roman" w:cs="Times New Roman"/>
          <w:sz w:val="24"/>
          <w:szCs w:val="24"/>
        </w:rPr>
        <w:t xml:space="preserve">tenendo in considerazione anche il privilegio </w:t>
      </w:r>
      <w:r w:rsidR="00535E99">
        <w:rPr>
          <w:rFonts w:ascii="Times New Roman" w:hAnsi="Times New Roman" w:cs="Times New Roman"/>
          <w:sz w:val="24"/>
          <w:szCs w:val="24"/>
        </w:rPr>
        <w:t xml:space="preserve">di </w:t>
      </w:r>
      <w:r w:rsidR="00535E99" w:rsidRPr="00B63617">
        <w:rPr>
          <w:rFonts w:ascii="Times New Roman" w:hAnsi="Times New Roman" w:cs="Times New Roman"/>
          <w:sz w:val="24"/>
          <w:szCs w:val="24"/>
        </w:rPr>
        <w:t xml:space="preserve">cui all’articolo </w:t>
      </w:r>
      <w:r w:rsidR="00B63617" w:rsidRPr="00995201">
        <w:rPr>
          <w:rFonts w:ascii="Times New Roman" w:hAnsi="Times New Roman" w:cs="Times New Roman"/>
          <w:sz w:val="24"/>
          <w:szCs w:val="24"/>
        </w:rPr>
        <w:t>6</w:t>
      </w:r>
      <w:r w:rsidR="00535E99" w:rsidRPr="00B63617">
        <w:rPr>
          <w:rFonts w:ascii="Times New Roman" w:hAnsi="Times New Roman" w:cs="Times New Roman"/>
          <w:sz w:val="24"/>
          <w:szCs w:val="24"/>
        </w:rPr>
        <w:t>, comma</w:t>
      </w:r>
      <w:r w:rsidR="002E2C24">
        <w:rPr>
          <w:rFonts w:ascii="Times New Roman" w:hAnsi="Times New Roman" w:cs="Times New Roman"/>
          <w:sz w:val="24"/>
          <w:szCs w:val="24"/>
        </w:rPr>
        <w:t xml:space="preserve"> </w:t>
      </w:r>
      <w:r w:rsidR="00222641">
        <w:rPr>
          <w:rFonts w:ascii="Times New Roman" w:hAnsi="Times New Roman" w:cs="Times New Roman"/>
          <w:sz w:val="24"/>
          <w:szCs w:val="24"/>
        </w:rPr>
        <w:t>4</w:t>
      </w:r>
      <w:r w:rsidR="00535E99" w:rsidRPr="00B63617">
        <w:rPr>
          <w:rFonts w:ascii="Times New Roman" w:hAnsi="Times New Roman" w:cs="Times New Roman"/>
          <w:sz w:val="24"/>
          <w:szCs w:val="24"/>
        </w:rPr>
        <w:t xml:space="preserve">, del </w:t>
      </w:r>
      <w:r w:rsidR="00B63617" w:rsidRPr="00DE6E8B">
        <w:rPr>
          <w:rFonts w:ascii="Times New Roman" w:hAnsi="Times New Roman" w:cs="Times New Roman"/>
          <w:sz w:val="24"/>
          <w:szCs w:val="24"/>
        </w:rPr>
        <w:t xml:space="preserve">decreto </w:t>
      </w:r>
      <w:r w:rsidR="00222641">
        <w:rPr>
          <w:rFonts w:ascii="Times New Roman" w:hAnsi="Times New Roman" w:cs="Times New Roman"/>
          <w:sz w:val="24"/>
          <w:szCs w:val="24"/>
        </w:rPr>
        <w:t>ministeriale 31 dicembre 2021</w:t>
      </w:r>
      <w:r w:rsidRPr="00E142E7">
        <w:rPr>
          <w:rFonts w:ascii="Times New Roman" w:hAnsi="Times New Roman" w:cs="Times New Roman"/>
          <w:sz w:val="24"/>
          <w:szCs w:val="24"/>
        </w:rPr>
        <w:t xml:space="preserve">, secondo quanto previsto dal </w:t>
      </w:r>
      <w:r w:rsidR="00F40EEE">
        <w:rPr>
          <w:rFonts w:ascii="Times New Roman" w:hAnsi="Times New Roman" w:cs="Times New Roman"/>
          <w:sz w:val="24"/>
          <w:szCs w:val="24"/>
        </w:rPr>
        <w:t>r</w:t>
      </w:r>
      <w:r w:rsidR="00F40EEE" w:rsidRPr="00E142E7">
        <w:rPr>
          <w:rFonts w:ascii="Times New Roman" w:hAnsi="Times New Roman" w:cs="Times New Roman"/>
          <w:sz w:val="24"/>
          <w:szCs w:val="24"/>
        </w:rPr>
        <w:t xml:space="preserve">egolamento </w:t>
      </w:r>
      <w:r w:rsidR="00F40EEE">
        <w:rPr>
          <w:rFonts w:ascii="Times New Roman" w:hAnsi="Times New Roman" w:cs="Times New Roman"/>
          <w:sz w:val="24"/>
          <w:szCs w:val="24"/>
        </w:rPr>
        <w:t xml:space="preserve">(UE) n. </w:t>
      </w:r>
      <w:r w:rsidRPr="00E142E7">
        <w:rPr>
          <w:rFonts w:ascii="Times New Roman" w:hAnsi="Times New Roman" w:cs="Times New Roman"/>
          <w:sz w:val="24"/>
          <w:szCs w:val="24"/>
        </w:rPr>
        <w:t>575/2013 del 26 giugno 2013.</w:t>
      </w:r>
      <w:r>
        <w:rPr>
          <w:rFonts w:ascii="Times New Roman" w:hAnsi="Times New Roman" w:cs="Times New Roman"/>
          <w:sz w:val="24"/>
          <w:szCs w:val="24"/>
        </w:rPr>
        <w:t xml:space="preserve"> In particolare, ai sensi degli articoli 161 e 230 del </w:t>
      </w:r>
      <w:proofErr w:type="gramStart"/>
      <w:r>
        <w:rPr>
          <w:rFonts w:ascii="Times New Roman" w:hAnsi="Times New Roman" w:cs="Times New Roman"/>
          <w:sz w:val="24"/>
          <w:szCs w:val="24"/>
        </w:rPr>
        <w:t>predetto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regolamento, il livello di LGD associabile al finanziamento agevolato in esame comporta, secondo le sopraindicate soglie stabilite dalla Comunicazione della Commissione, un livello di garanzia normale.</w:t>
      </w:r>
    </w:p>
    <w:p w14:paraId="19749DE2" w14:textId="77777777" w:rsidR="00015084" w:rsidRDefault="00015084" w:rsidP="00015084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9D99BDA" w14:textId="77777777" w:rsidR="00A26DB4" w:rsidRPr="00A26DB4" w:rsidRDefault="00A26DB4" w:rsidP="00A26DB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1C3CCF3E" w14:textId="77777777" w:rsidR="009061D7" w:rsidRPr="00444999" w:rsidRDefault="009061D7" w:rsidP="00A26DB4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</w:p>
    <w:sectPr w:rsidR="009061D7" w:rsidRPr="00444999" w:rsidSect="00011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1B73" w14:textId="77777777" w:rsidR="00AB0FBB" w:rsidRDefault="00AB0FBB" w:rsidP="00D55DAA">
      <w:pPr>
        <w:spacing w:after="0" w:line="240" w:lineRule="auto"/>
      </w:pPr>
      <w:r>
        <w:separator/>
      </w:r>
    </w:p>
  </w:endnote>
  <w:endnote w:type="continuationSeparator" w:id="0">
    <w:p w14:paraId="19A6AF36" w14:textId="77777777" w:rsidR="00AB0FBB" w:rsidRDefault="00AB0FBB" w:rsidP="00D5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2BF3" w14:textId="77777777" w:rsidR="001A5AEF" w:rsidRDefault="001A5A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06632"/>
      <w:docPartObj>
        <w:docPartGallery w:val="Page Numbers (Bottom of Page)"/>
        <w:docPartUnique/>
      </w:docPartObj>
    </w:sdtPr>
    <w:sdtEndPr/>
    <w:sdtContent>
      <w:p w14:paraId="6E51A816" w14:textId="77777777" w:rsidR="0019164B" w:rsidRDefault="000114DB">
        <w:pPr>
          <w:pStyle w:val="Pidipagina"/>
          <w:jc w:val="center"/>
        </w:pPr>
        <w:r>
          <w:fldChar w:fldCharType="begin"/>
        </w:r>
        <w:r w:rsidR="0019164B">
          <w:instrText>PAGE   \* MERGEFORMAT</w:instrText>
        </w:r>
        <w:r>
          <w:fldChar w:fldCharType="separate"/>
        </w:r>
        <w:r w:rsidR="00DE6E8B">
          <w:rPr>
            <w:noProof/>
          </w:rPr>
          <w:t>1</w:t>
        </w:r>
        <w:r>
          <w:fldChar w:fldCharType="end"/>
        </w:r>
      </w:p>
    </w:sdtContent>
  </w:sdt>
  <w:p w14:paraId="4DAA4F06" w14:textId="77777777" w:rsidR="00DD2681" w:rsidRDefault="00DD26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D6C" w14:textId="77777777" w:rsidR="001A5AEF" w:rsidRDefault="001A5A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DE95" w14:textId="77777777" w:rsidR="00AB0FBB" w:rsidRDefault="00AB0FBB" w:rsidP="00D55DAA">
      <w:pPr>
        <w:spacing w:after="0" w:line="240" w:lineRule="auto"/>
      </w:pPr>
      <w:r>
        <w:separator/>
      </w:r>
    </w:p>
  </w:footnote>
  <w:footnote w:type="continuationSeparator" w:id="0">
    <w:p w14:paraId="6BCDB86F" w14:textId="77777777" w:rsidR="00AB0FBB" w:rsidRDefault="00AB0FBB" w:rsidP="00D5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17DB6" w14:textId="77777777" w:rsidR="001A5AEF" w:rsidRDefault="001A5A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A60C" w14:textId="77777777" w:rsidR="001A5AEF" w:rsidRDefault="00D55DAA" w:rsidP="001A5AEF">
    <w:pPr>
      <w:pStyle w:val="Intestazione"/>
      <w:jc w:val="right"/>
      <w:rPr>
        <w:rFonts w:ascii="Times New Roman" w:hAnsi="Times New Roman"/>
        <w:b/>
        <w:i/>
        <w:smallCaps/>
        <w:sz w:val="24"/>
      </w:rPr>
    </w:pPr>
    <w:r>
      <w:tab/>
    </w:r>
    <w:r>
      <w:tab/>
    </w:r>
    <w:r w:rsidR="00333DFE">
      <w:rPr>
        <w:rFonts w:ascii="Times New Roman" w:hAnsi="Times New Roman"/>
        <w:b/>
        <w:i/>
        <w:smallCaps/>
        <w:sz w:val="24"/>
      </w:rPr>
      <w:t>Allegato n</w:t>
    </w:r>
    <w:r>
      <w:rPr>
        <w:rFonts w:ascii="Times New Roman" w:hAnsi="Times New Roman"/>
        <w:b/>
        <w:i/>
        <w:smallCaps/>
        <w:sz w:val="24"/>
      </w:rPr>
      <w:t>.</w:t>
    </w:r>
    <w:r w:rsidR="00D25481">
      <w:rPr>
        <w:rFonts w:ascii="Times New Roman" w:hAnsi="Times New Roman"/>
        <w:b/>
        <w:i/>
        <w:smallCaps/>
        <w:sz w:val="24"/>
      </w:rPr>
      <w:t xml:space="preserve"> </w:t>
    </w:r>
    <w:r w:rsidR="00700A64">
      <w:rPr>
        <w:rFonts w:ascii="Times New Roman" w:hAnsi="Times New Roman"/>
        <w:b/>
        <w:i/>
        <w:smallCaps/>
        <w:sz w:val="24"/>
      </w:rPr>
      <w:t>10</w:t>
    </w:r>
  </w:p>
  <w:p w14:paraId="09AA11F3" w14:textId="77777777" w:rsidR="001A5AEF" w:rsidRPr="00AB3F3A" w:rsidRDefault="001A5AEF" w:rsidP="001A5AEF">
    <w:pPr>
      <w:autoSpaceDE w:val="0"/>
      <w:autoSpaceDN w:val="0"/>
      <w:adjustRightInd w:val="0"/>
      <w:jc w:val="right"/>
      <w:rPr>
        <w:rFonts w:ascii="Times New Roman" w:hAnsi="Times New Roman"/>
        <w:bCs/>
        <w:i/>
        <w:iCs/>
        <w:lang w:eastAsia="it-IT"/>
      </w:rPr>
    </w:pPr>
    <w:r w:rsidRPr="00AB3F3A">
      <w:rPr>
        <w:rFonts w:ascii="Times New Roman" w:hAnsi="Times New Roman"/>
        <w:bCs/>
        <w:i/>
        <w:iCs/>
        <w:lang w:eastAsia="it-IT"/>
      </w:rPr>
      <w:t>Accordi per l’innovazione nella filiera del settore automotive</w:t>
    </w:r>
  </w:p>
  <w:p w14:paraId="43AE5EE4" w14:textId="5C7F46DB" w:rsidR="001A5AEF" w:rsidRPr="00A54907" w:rsidRDefault="001A5AEF" w:rsidP="001A5AEF">
    <w:pPr>
      <w:pStyle w:val="Intestazione"/>
      <w:jc w:val="right"/>
      <w:rPr>
        <w:rFonts w:ascii="Times New Roman" w:hAnsi="Times New Roman"/>
        <w:b/>
        <w:i/>
        <w:smallCaps/>
        <w:sz w:val="24"/>
      </w:rPr>
    </w:pPr>
  </w:p>
  <w:p w14:paraId="39A8DD57" w14:textId="77777777" w:rsidR="00D55DAA" w:rsidRPr="00B30607" w:rsidRDefault="00D55DAA" w:rsidP="00D55DAA">
    <w:pPr>
      <w:pStyle w:val="Intestazione"/>
      <w:jc w:val="right"/>
      <w:rPr>
        <w:rFonts w:ascii="Times New Roman" w:hAnsi="Times New Roman"/>
        <w:b/>
        <w:sz w:val="24"/>
      </w:rPr>
    </w:pPr>
  </w:p>
  <w:p w14:paraId="1E4016B8" w14:textId="77777777" w:rsidR="00D55DAA" w:rsidRDefault="00D55DA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6627" w14:textId="77777777" w:rsidR="001A5AEF" w:rsidRDefault="001A5A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2A"/>
    <w:multiLevelType w:val="hybridMultilevel"/>
    <w:tmpl w:val="C8E0F11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60200"/>
    <w:multiLevelType w:val="hybridMultilevel"/>
    <w:tmpl w:val="A658048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F26EB"/>
    <w:multiLevelType w:val="hybridMultilevel"/>
    <w:tmpl w:val="928A4C8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338263170">
    <w:abstractNumId w:val="0"/>
  </w:num>
  <w:num w:numId="2" w16cid:durableId="973369352">
    <w:abstractNumId w:val="2"/>
  </w:num>
  <w:num w:numId="3" w16cid:durableId="1248810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DAA"/>
    <w:rsid w:val="000028B6"/>
    <w:rsid w:val="000114DB"/>
    <w:rsid w:val="00015084"/>
    <w:rsid w:val="0006119E"/>
    <w:rsid w:val="00081F2E"/>
    <w:rsid w:val="000D21CF"/>
    <w:rsid w:val="000D75D7"/>
    <w:rsid w:val="001545DC"/>
    <w:rsid w:val="001605CD"/>
    <w:rsid w:val="0019164B"/>
    <w:rsid w:val="001A5AEF"/>
    <w:rsid w:val="001B339E"/>
    <w:rsid w:val="001C40C1"/>
    <w:rsid w:val="00202B1C"/>
    <w:rsid w:val="00222641"/>
    <w:rsid w:val="0025513B"/>
    <w:rsid w:val="00273608"/>
    <w:rsid w:val="00290948"/>
    <w:rsid w:val="002C5141"/>
    <w:rsid w:val="002E2C24"/>
    <w:rsid w:val="002E75CD"/>
    <w:rsid w:val="00322D84"/>
    <w:rsid w:val="00333DFE"/>
    <w:rsid w:val="003421B1"/>
    <w:rsid w:val="003B4450"/>
    <w:rsid w:val="003D780C"/>
    <w:rsid w:val="00444999"/>
    <w:rsid w:val="004731F5"/>
    <w:rsid w:val="0053081A"/>
    <w:rsid w:val="00535E99"/>
    <w:rsid w:val="005B5460"/>
    <w:rsid w:val="005C25CA"/>
    <w:rsid w:val="00624C20"/>
    <w:rsid w:val="00653803"/>
    <w:rsid w:val="006C1D82"/>
    <w:rsid w:val="006E367C"/>
    <w:rsid w:val="00700A64"/>
    <w:rsid w:val="00756804"/>
    <w:rsid w:val="00765106"/>
    <w:rsid w:val="007A62D1"/>
    <w:rsid w:val="008528C9"/>
    <w:rsid w:val="00860148"/>
    <w:rsid w:val="0088102C"/>
    <w:rsid w:val="008D3396"/>
    <w:rsid w:val="008F2649"/>
    <w:rsid w:val="008F3972"/>
    <w:rsid w:val="009061D7"/>
    <w:rsid w:val="00925344"/>
    <w:rsid w:val="009277F8"/>
    <w:rsid w:val="00995201"/>
    <w:rsid w:val="009B2A0B"/>
    <w:rsid w:val="009E6AE1"/>
    <w:rsid w:val="00A05E49"/>
    <w:rsid w:val="00A26DB4"/>
    <w:rsid w:val="00A66AEE"/>
    <w:rsid w:val="00A97F40"/>
    <w:rsid w:val="00AA6975"/>
    <w:rsid w:val="00AB0FBB"/>
    <w:rsid w:val="00AB1DED"/>
    <w:rsid w:val="00AE6E11"/>
    <w:rsid w:val="00B06F20"/>
    <w:rsid w:val="00B63617"/>
    <w:rsid w:val="00B63C27"/>
    <w:rsid w:val="00B85FEE"/>
    <w:rsid w:val="00C236E8"/>
    <w:rsid w:val="00CE2CC6"/>
    <w:rsid w:val="00CF12DD"/>
    <w:rsid w:val="00D1471B"/>
    <w:rsid w:val="00D25481"/>
    <w:rsid w:val="00D515FD"/>
    <w:rsid w:val="00D55DAA"/>
    <w:rsid w:val="00D61B5C"/>
    <w:rsid w:val="00DA4932"/>
    <w:rsid w:val="00DD2681"/>
    <w:rsid w:val="00DE6E8B"/>
    <w:rsid w:val="00E32173"/>
    <w:rsid w:val="00E46A4B"/>
    <w:rsid w:val="00E7006F"/>
    <w:rsid w:val="00E91028"/>
    <w:rsid w:val="00F40EEE"/>
    <w:rsid w:val="00F63796"/>
    <w:rsid w:val="00F6411D"/>
    <w:rsid w:val="00FB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1BD77"/>
  <w15:docId w15:val="{D6FEBCC2-BA16-4561-BF1D-8005B27B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DAA"/>
  </w:style>
  <w:style w:type="paragraph" w:styleId="Pidipagina">
    <w:name w:val="footer"/>
    <w:basedOn w:val="Normale"/>
    <w:link w:val="PidipaginaCarattere"/>
    <w:uiPriority w:val="99"/>
    <w:unhideWhenUsed/>
    <w:rsid w:val="00D55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DAA"/>
  </w:style>
  <w:style w:type="paragraph" w:styleId="Paragrafoelenco">
    <w:name w:val="List Paragraph"/>
    <w:basedOn w:val="Normale"/>
    <w:uiPriority w:val="34"/>
    <w:qFormat/>
    <w:rsid w:val="00756804"/>
    <w:pPr>
      <w:ind w:left="720"/>
      <w:contextualSpacing/>
    </w:pPr>
  </w:style>
  <w:style w:type="table" w:styleId="Grigliatabella">
    <w:name w:val="Table Grid"/>
    <w:basedOn w:val="Tabellanormale"/>
    <w:uiPriority w:val="39"/>
    <w:rsid w:val="00015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605C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C24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2A0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A0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B3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mpetition-policy/state-aid/legislation/reference-discount-rates-and-recovery-interest-rates/reference-and-discount-rates_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FB8D-86DF-4D7F-8B29-9B5AFD90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Galizia</dc:creator>
  <cp:keywords/>
  <dc:description/>
  <cp:lastModifiedBy>Autore 1</cp:lastModifiedBy>
  <cp:revision>16</cp:revision>
  <dcterms:created xsi:type="dcterms:W3CDTF">2018-07-26T11:47:00Z</dcterms:created>
  <dcterms:modified xsi:type="dcterms:W3CDTF">2022-09-22T12:48:00Z</dcterms:modified>
</cp:coreProperties>
</file>