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4B6604DF"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E751A5">
        <w:rPr>
          <w:rFonts w:ascii="Times New Roman" w:hAnsi="Times New Roman" w:cs="Times New Roman"/>
          <w:sz w:val="24"/>
          <w:szCs w:val="24"/>
        </w:rPr>
        <w:t xml:space="preserve">3 novembre 2023 n. </w:t>
      </w:r>
      <w:r w:rsidR="00AD1031">
        <w:rPr>
          <w:rFonts w:ascii="Times New Roman" w:hAnsi="Times New Roman" w:cs="Times New Roman"/>
          <w:sz w:val="24"/>
          <w:szCs w:val="24"/>
        </w:rPr>
        <w:t>0214284</w:t>
      </w:r>
      <w:bookmarkStart w:id="0" w:name="_GoBack"/>
      <w:bookmarkEnd w:id="0"/>
      <w:r w:rsidR="00A11A78">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046A5031"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5</w:t>
      </w:r>
      <w:r w:rsidR="00063FCF" w:rsidRPr="00505577">
        <w:rPr>
          <w:rFonts w:ascii="Times New Roman" w:eastAsia="Calibri" w:hAnsi="Times New Roman"/>
          <w:color w:val="000000"/>
          <w:sz w:val="24"/>
          <w:szCs w:val="24"/>
          <w:lang w:eastAsia="it-IT"/>
        </w:rPr>
        <w:t>;</w:t>
      </w:r>
    </w:p>
    <w:p w14:paraId="5C2C37BC" w14:textId="08B90E99"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123EB9E6"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9</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7AC988E2"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00AA0B3F">
        <w:rPr>
          <w:rFonts w:ascii="Times New Roman" w:eastAsia="Calibri" w:hAnsi="Times New Roman"/>
          <w:color w:val="000000"/>
          <w:sz w:val="24"/>
          <w:szCs w:val="24"/>
          <w:u w:val="single"/>
          <w:lang w:eastAsia="it-IT"/>
        </w:rPr>
        <w:t>allegato n. 20</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 xml:space="preserve">state sul progetto, </w:t>
      </w:r>
      <w:r w:rsidR="00FF403D">
        <w:rPr>
          <w:rFonts w:ascii="Times New Roman" w:hAnsi="Times New Roman"/>
          <w:sz w:val="24"/>
          <w:szCs w:val="24"/>
        </w:rPr>
        <w:lastRenderedPageBreak/>
        <w:t>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77A80240"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AA0B3F">
        <w:rPr>
          <w:rFonts w:ascii="Times New Roman" w:eastAsia="Calibri" w:hAnsi="Times New Roman"/>
          <w:color w:val="000000"/>
          <w:sz w:val="24"/>
          <w:szCs w:val="24"/>
          <w:u w:val="single"/>
          <w:lang w:eastAsia="it-IT"/>
        </w:rPr>
        <w:t>21</w:t>
      </w:r>
      <w:r w:rsidR="001D0367" w:rsidRPr="00505577">
        <w:rPr>
          <w:rFonts w:ascii="Times New Roman" w:eastAsia="Calibri" w:hAnsi="Times New Roman"/>
          <w:color w:val="000000"/>
          <w:sz w:val="24"/>
          <w:szCs w:val="24"/>
          <w:u w:val="single"/>
          <w:lang w:eastAsia="it-IT"/>
        </w:rPr>
        <w:t>;</w:t>
      </w:r>
    </w:p>
    <w:p w14:paraId="0B5D5094" w14:textId="750B769B"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AA0B3F">
        <w:rPr>
          <w:rFonts w:ascii="Times New Roman" w:hAnsi="Times New Roman" w:cs="Times New Roman"/>
          <w:sz w:val="24"/>
          <w:szCs w:val="24"/>
          <w:u w:val="single"/>
        </w:rPr>
        <w:t>3</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82B8E" w14:textId="77777777" w:rsidR="000279C5" w:rsidRDefault="000279C5" w:rsidP="00150AC4">
      <w:pPr>
        <w:spacing w:after="0" w:line="240" w:lineRule="auto"/>
      </w:pPr>
      <w:r>
        <w:separator/>
      </w:r>
    </w:p>
  </w:endnote>
  <w:endnote w:type="continuationSeparator" w:id="0">
    <w:p w14:paraId="53B15A56" w14:textId="77777777" w:rsidR="000279C5" w:rsidRDefault="000279C5"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0006AEAE" w:rsidR="00290409" w:rsidRDefault="00B838CB">
        <w:pPr>
          <w:pStyle w:val="Pidipagina"/>
          <w:jc w:val="center"/>
        </w:pPr>
        <w:r>
          <w:fldChar w:fldCharType="begin"/>
        </w:r>
        <w:r w:rsidR="00290409">
          <w:instrText>PAGE   \* MERGEFORMAT</w:instrText>
        </w:r>
        <w:r>
          <w:fldChar w:fldCharType="separate"/>
        </w:r>
        <w:r w:rsidR="00AD1031">
          <w:rPr>
            <w:noProof/>
          </w:rPr>
          <w:t>3</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FE99C" w14:textId="77777777" w:rsidR="000279C5" w:rsidRDefault="000279C5" w:rsidP="00150AC4">
      <w:pPr>
        <w:spacing w:after="0" w:line="240" w:lineRule="auto"/>
      </w:pPr>
      <w:r>
        <w:separator/>
      </w:r>
    </w:p>
  </w:footnote>
  <w:footnote w:type="continuationSeparator" w:id="0">
    <w:p w14:paraId="5B845104" w14:textId="77777777" w:rsidR="000279C5" w:rsidRDefault="000279C5"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BA18" w14:textId="4727A5A2" w:rsidR="00794FF7" w:rsidRDefault="00794FF7" w:rsidP="00794FF7">
    <w:pPr>
      <w:pStyle w:val="Intestazione"/>
      <w:tabs>
        <w:tab w:val="left" w:pos="3686"/>
        <w:tab w:val="left" w:pos="7797"/>
        <w:tab w:val="left" w:pos="10915"/>
        <w:tab w:val="left" w:pos="14175"/>
      </w:tabs>
      <w:jc w:val="right"/>
      <w:rPr>
        <w:rFonts w:ascii="Times New Roman" w:hAnsi="Times New Roman" w:cs="Times New Roman"/>
        <w:b/>
        <w:i/>
        <w:smallCaps/>
        <w:sz w:val="24"/>
        <w:szCs w:val="24"/>
      </w:rPr>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sidR="009D4467">
      <w:rPr>
        <w:rFonts w:ascii="Times New Roman" w:hAnsi="Times New Roman" w:cs="Times New Roman"/>
        <w:b/>
        <w:i/>
        <w:smallCaps/>
        <w:sz w:val="24"/>
        <w:szCs w:val="24"/>
      </w:rPr>
      <w:t>6</w:t>
    </w:r>
  </w:p>
  <w:p w14:paraId="265180E2" w14:textId="77777777" w:rsidR="009D4467" w:rsidRPr="00583CCA" w:rsidRDefault="009D4467" w:rsidP="009D4467">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3890BF5D" wp14:editId="240A2D60">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357B8681" wp14:editId="5EE3D967">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FCA1E8B" w14:textId="77777777" w:rsidR="009D4467" w:rsidRPr="00583CCA" w:rsidRDefault="009D4467" w:rsidP="009D4467">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2802761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01782D2A"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7A69669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D4F6E3D" w14:textId="2B37396C"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279C5"/>
    <w:rsid w:val="0003494D"/>
    <w:rsid w:val="00050E0D"/>
    <w:rsid w:val="00063FCF"/>
    <w:rsid w:val="000719DB"/>
    <w:rsid w:val="00086073"/>
    <w:rsid w:val="000878F9"/>
    <w:rsid w:val="000A42A4"/>
    <w:rsid w:val="000D637E"/>
    <w:rsid w:val="000E6218"/>
    <w:rsid w:val="0010740E"/>
    <w:rsid w:val="00110323"/>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44DE"/>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87AED"/>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66E07"/>
    <w:rsid w:val="008A4AAC"/>
    <w:rsid w:val="008E1D63"/>
    <w:rsid w:val="008F18A5"/>
    <w:rsid w:val="008F51E9"/>
    <w:rsid w:val="008F5D4C"/>
    <w:rsid w:val="009036F7"/>
    <w:rsid w:val="00912D08"/>
    <w:rsid w:val="00920085"/>
    <w:rsid w:val="009663B1"/>
    <w:rsid w:val="00977B2B"/>
    <w:rsid w:val="00981DD9"/>
    <w:rsid w:val="00992417"/>
    <w:rsid w:val="009A4E07"/>
    <w:rsid w:val="009B627A"/>
    <w:rsid w:val="009D4467"/>
    <w:rsid w:val="009D65FD"/>
    <w:rsid w:val="009D76E4"/>
    <w:rsid w:val="009E52E8"/>
    <w:rsid w:val="009F18C9"/>
    <w:rsid w:val="00A007C3"/>
    <w:rsid w:val="00A11A78"/>
    <w:rsid w:val="00A32746"/>
    <w:rsid w:val="00A5739B"/>
    <w:rsid w:val="00A63FBC"/>
    <w:rsid w:val="00A668BD"/>
    <w:rsid w:val="00A74B09"/>
    <w:rsid w:val="00A76866"/>
    <w:rsid w:val="00AA0B3F"/>
    <w:rsid w:val="00AD1031"/>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4251"/>
    <w:rsid w:val="00DD70D0"/>
    <w:rsid w:val="00DF4257"/>
    <w:rsid w:val="00E009BB"/>
    <w:rsid w:val="00E045A1"/>
    <w:rsid w:val="00E14A87"/>
    <w:rsid w:val="00E16102"/>
    <w:rsid w:val="00E425B2"/>
    <w:rsid w:val="00E6104A"/>
    <w:rsid w:val="00E751A5"/>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iPriority w:val="99"/>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3718C-B637-4679-B87D-D726E00A8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1535</Words>
  <Characters>8754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35</cp:revision>
  <dcterms:created xsi:type="dcterms:W3CDTF">2018-07-26T12:26:00Z</dcterms:created>
  <dcterms:modified xsi:type="dcterms:W3CDTF">2025-03-03T10:17:00Z</dcterms:modified>
</cp:coreProperties>
</file>