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17E" w:rsidRDefault="0026717E" w:rsidP="0026717E">
      <w:pPr>
        <w:tabs>
          <w:tab w:val="left" w:pos="4198"/>
          <w:tab w:val="center" w:pos="4820"/>
        </w:tabs>
        <w:ind w:right="-1"/>
        <w:jc w:val="center"/>
        <w:rPr>
          <w:rFonts w:ascii="Palace Script MT" w:hAnsi="Palace Script MT"/>
          <w:color w:val="2764AE"/>
          <w:sz w:val="80"/>
          <w:szCs w:val="80"/>
        </w:rPr>
      </w:pPr>
      <w:r w:rsidRPr="008719E6">
        <w:rPr>
          <w:rFonts w:ascii="Palace Script MT" w:hAnsi="Palace Script MT"/>
          <w:noProof/>
          <w:color w:val="003399"/>
          <w:sz w:val="72"/>
          <w:szCs w:val="72"/>
          <w:lang w:eastAsia="it-IT"/>
        </w:rPr>
        <w:drawing>
          <wp:inline distT="0" distB="0" distL="0" distR="0" wp14:anchorId="35E73DF6" wp14:editId="3D97E557">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26717E" w:rsidRPr="008719E6" w:rsidRDefault="0026717E" w:rsidP="0026717E">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r w:rsidRPr="008719E6">
        <w:rPr>
          <w:color w:val="808080"/>
          <w:sz w:val="24"/>
        </w:rPr>
        <w:t xml:space="preserve"> </w:t>
      </w:r>
    </w:p>
    <w:p w:rsidR="0026717E" w:rsidRPr="00CB5B88" w:rsidRDefault="0026717E" w:rsidP="0026717E">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26717E" w:rsidRPr="00CB5B88" w:rsidRDefault="0026717E" w:rsidP="0026717E">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26717E" w:rsidRPr="00824DE1" w:rsidRDefault="0026717E" w:rsidP="0026717E">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26717E" w:rsidRDefault="0026717E" w:rsidP="00262B06">
      <w:pPr>
        <w:pStyle w:val="Corpotesto"/>
        <w:jc w:val="center"/>
        <w:rPr>
          <w:rFonts w:ascii="Times New Roman" w:hAnsi="Times New Roman"/>
          <w:b/>
          <w:sz w:val="24"/>
        </w:rPr>
      </w:pPr>
    </w:p>
    <w:p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rsidR="00F75C48" w:rsidRPr="00CC333B" w:rsidRDefault="00F75C48" w:rsidP="00262B06">
      <w:pPr>
        <w:pStyle w:val="Corpotesto"/>
        <w:jc w:val="center"/>
        <w:rPr>
          <w:rFonts w:ascii="Times New Roman" w:hAnsi="Times New Roman"/>
          <w:b/>
          <w:sz w:val="24"/>
          <w:lang w:val="it-IT"/>
        </w:rPr>
      </w:pPr>
    </w:p>
    <w:p w:rsidR="00C556B8" w:rsidRPr="00506CC8" w:rsidRDefault="00C556B8" w:rsidP="00506CC8">
      <w:pPr>
        <w:rPr>
          <w:sz w:val="24"/>
        </w:rPr>
      </w:pPr>
    </w:p>
    <w:p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rsidR="00704DAE" w:rsidRPr="00CC333B" w:rsidRDefault="00704DAE" w:rsidP="00506CC8">
      <w:pPr>
        <w:rPr>
          <w:sz w:val="24"/>
        </w:rPr>
      </w:pPr>
    </w:p>
    <w:p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w:t>
      </w:r>
      <w:r w:rsidRPr="00CC333B">
        <w:rPr>
          <w:rFonts w:ascii="Times New Roman" w:hAnsi="Times New Roman"/>
          <w:sz w:val="24"/>
          <w:lang w:val="it-IT"/>
        </w:rPr>
        <w:t xml:space="preserve">redatti secondo lo schema di cui in </w:t>
      </w:r>
      <w:r w:rsidRPr="001D1CA4">
        <w:rPr>
          <w:rFonts w:ascii="Times New Roman" w:hAnsi="Times New Roman"/>
          <w:sz w:val="24"/>
          <w:u w:val="single"/>
          <w:lang w:val="it-IT"/>
        </w:rPr>
        <w:t xml:space="preserve">allegato n. </w:t>
      </w:r>
      <w:r w:rsidRPr="00CC333B">
        <w:rPr>
          <w:rFonts w:ascii="Times New Roman" w:hAnsi="Times New Roman"/>
          <w:sz w:val="24"/>
          <w:u w:val="single"/>
          <w:lang w:val="it-IT"/>
        </w:rPr>
        <w:t>1</w:t>
      </w:r>
      <w:r w:rsidR="00EA42C5">
        <w:rPr>
          <w:rFonts w:ascii="Times New Roman" w:hAnsi="Times New Roman"/>
          <w:sz w:val="24"/>
          <w:u w:val="single"/>
          <w:lang w:val="it-IT"/>
        </w:rPr>
        <w:t>3</w:t>
      </w:r>
      <w:r>
        <w:rPr>
          <w:rFonts w:ascii="Times New Roman" w:hAnsi="Times New Roman"/>
          <w:sz w:val="24"/>
          <w:u w:val="single"/>
          <w:lang w:val="it-IT"/>
        </w:rPr>
        <w:t xml:space="preserve"> </w:t>
      </w:r>
      <w:r w:rsidRPr="00CC333B">
        <w:rPr>
          <w:rFonts w:ascii="Times New Roman" w:hAnsi="Times New Roman"/>
          <w:sz w:val="24"/>
        </w:rPr>
        <w:t>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lastRenderedPageBreak/>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rsidR="00FD75EC" w:rsidRPr="001D1CA4" w:rsidRDefault="00FD75EC" w:rsidP="00FD75EC">
      <w:pPr>
        <w:pStyle w:val="Corpotesto"/>
        <w:suppressAutoHyphens w:val="0"/>
        <w:spacing w:before="120"/>
        <w:ind w:left="360"/>
        <w:rPr>
          <w:rFonts w:ascii="Times New Roman" w:hAnsi="Times New Roman"/>
          <w:sz w:val="24"/>
        </w:rPr>
      </w:pP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proofErr w:type="spellStart"/>
      <w:r w:rsidRPr="0062274B">
        <w:rPr>
          <w:rFonts w:ascii="Times New Roman" w:hAnsi="Times New Roman"/>
          <w:i/>
          <w:sz w:val="24"/>
          <w:lang w:val="it-IT"/>
        </w:rPr>
        <w:t>timesheet</w:t>
      </w:r>
      <w:proofErr w:type="spellEnd"/>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rsidR="003437D7" w:rsidRPr="001D1CA4" w:rsidRDefault="003437D7"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rsidR="003437D7" w:rsidRPr="001D1CA4" w:rsidRDefault="003437D7"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lastRenderedPageBreak/>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rsidR="00E24052" w:rsidRPr="002E44CD" w:rsidRDefault="00E24052"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rsidR="008B6FFF" w:rsidRDefault="008B6FFF" w:rsidP="00EE683B">
      <w:pPr>
        <w:pStyle w:val="Paragrafoelenco"/>
        <w:ind w:left="0"/>
        <w:rPr>
          <w:rFonts w:ascii="Times New Roman" w:hAnsi="Times New Roman"/>
          <w:sz w:val="24"/>
        </w:rPr>
      </w:pPr>
    </w:p>
    <w:p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rsidR="006C23B4" w:rsidRDefault="006C23B4" w:rsidP="00774CBE">
      <w:pPr>
        <w:pStyle w:val="Paragrafoelenco"/>
        <w:ind w:left="0"/>
        <w:contextualSpacing/>
        <w:rPr>
          <w:rFonts w:ascii="Times New Roman" w:hAnsi="Times New Roman"/>
          <w:sz w:val="24"/>
        </w:rPr>
      </w:pPr>
    </w:p>
    <w:p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rsidR="00863701" w:rsidRPr="00CC333B" w:rsidRDefault="00863701" w:rsidP="00506CC8">
      <w:pPr>
        <w:rPr>
          <w:sz w:val="24"/>
        </w:rPr>
      </w:pPr>
    </w:p>
    <w:p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w:t>
      </w:r>
      <w:proofErr w:type="spellStart"/>
      <w:r w:rsidRPr="00D80A7C">
        <w:rPr>
          <w:rFonts w:ascii="Times New Roman" w:hAnsi="Times New Roman"/>
          <w:sz w:val="24"/>
        </w:rPr>
        <w:t>cd-rom</w:t>
      </w:r>
      <w:proofErr w:type="spellEnd"/>
      <w:r w:rsidRPr="00D80A7C">
        <w:rPr>
          <w:rFonts w:ascii="Times New Roman" w:hAnsi="Times New Roman"/>
          <w:sz w:val="24"/>
        </w:rPr>
        <w:t xml:space="preserve"> e carta per stampanti, vetreria di ordinaria dotazione, ecc.</w:t>
      </w:r>
    </w:p>
    <w:p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rsidR="003173A6" w:rsidRPr="0064613E" w:rsidRDefault="008B3575" w:rsidP="00506CC8">
      <w:pPr>
        <w:pStyle w:val="Corpotesto"/>
        <w:rPr>
          <w:bCs/>
          <w:lang w:val="it-IT"/>
        </w:rPr>
      </w:pPr>
      <w:r w:rsidRPr="00755360">
        <w:rPr>
          <w:rFonts w:ascii="Times New Roman" w:hAnsi="Times New Roman"/>
          <w:bCs/>
          <w:sz w:val="24"/>
        </w:rPr>
        <w:t xml:space="preserve">Ulteriori disposizioni 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al provvedimento di concessione delle agevolazioni di cui all’articolo 5, comma 2, del </w:t>
      </w:r>
      <w:r w:rsidR="00A41DD0">
        <w:rPr>
          <w:rFonts w:ascii="Times New Roman" w:hAnsi="Times New Roman"/>
          <w:bCs/>
          <w:sz w:val="24"/>
        </w:rPr>
        <w:t>Decreto Direttoriale</w:t>
      </w:r>
      <w:r w:rsidR="00A039A6">
        <w:rPr>
          <w:rFonts w:ascii="Times New Roman" w:hAnsi="Times New Roman"/>
          <w:bCs/>
          <w:sz w:val="24"/>
          <w:lang w:val="it-IT"/>
        </w:rPr>
        <w:t>.</w:t>
      </w:r>
      <w:bookmarkStart w:id="0" w:name="_GoBack"/>
      <w:bookmarkEnd w:id="0"/>
    </w:p>
    <w:sectPr w:rsidR="003173A6" w:rsidRPr="0064613E" w:rsidSect="00C70148">
      <w:headerReference w:type="even" r:id="rId12"/>
      <w:footerReference w:type="even" r:id="rId13"/>
      <w:footerReference w:type="default" r:id="rId14"/>
      <w:headerReference w:type="first" r:id="rId15"/>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5B0" w:rsidRDefault="00E575B0" w:rsidP="00DA1F2F">
      <w:r>
        <w:separator/>
      </w:r>
    </w:p>
  </w:endnote>
  <w:endnote w:type="continuationSeparator" w:id="0">
    <w:p w:rsidR="00E575B0" w:rsidRDefault="00E575B0"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409" w:rsidRDefault="00833409">
    <w:pPr>
      <w:pStyle w:val="Pidipagina"/>
      <w:jc w:val="center"/>
    </w:pPr>
    <w:r w:rsidRPr="00EE683B">
      <w:fldChar w:fldCharType="begin"/>
    </w:r>
    <w:r w:rsidRPr="00EE683B">
      <w:instrText>PAGE   \* MERGEFORMAT</w:instrText>
    </w:r>
    <w:r w:rsidRPr="00EE683B">
      <w:fldChar w:fldCharType="separate"/>
    </w:r>
    <w:r w:rsidR="00A039A6" w:rsidRPr="00A039A6">
      <w:rPr>
        <w:noProof/>
        <w:lang w:val="it-IT"/>
      </w:rPr>
      <w:t>5</w:t>
    </w:r>
    <w:r w:rsidRPr="00EE683B">
      <w:fldChar w:fldCharType="end"/>
    </w:r>
  </w:p>
  <w:p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5B0" w:rsidRDefault="00E575B0" w:rsidP="00DA1F2F">
      <w:r>
        <w:separator/>
      </w:r>
    </w:p>
  </w:footnote>
  <w:footnote w:type="continuationSeparator" w:id="0">
    <w:p w:rsidR="00E575B0" w:rsidRDefault="00E575B0"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9C09EC" w:rsidP="009C09EC">
    <w:pPr>
      <w:pStyle w:val="Intestazione"/>
      <w:jc w:val="right"/>
    </w:pPr>
    <w:r>
      <w:t>Allegato 10</w:t>
    </w:r>
  </w:p>
  <w:p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26717E" w:rsidP="0026717E">
    <w:pPr>
      <w:pStyle w:val="Intestazione"/>
      <w:tabs>
        <w:tab w:val="clear" w:pos="9638"/>
        <w:tab w:val="left" w:pos="1550"/>
        <w:tab w:val="right" w:pos="9637"/>
      </w:tabs>
      <w:jc w:val="left"/>
    </w:pPr>
    <w:r>
      <w:rPr>
        <w:rFonts w:ascii="Times New Roman" w:hAnsi="Times New Roman"/>
        <w:b/>
        <w:i/>
        <w:smallCaps/>
        <w:noProof/>
        <w:sz w:val="24"/>
        <w:lang w:val="it-IT" w:eastAsia="it-IT"/>
      </w:rPr>
      <w:drawing>
        <wp:anchor distT="0" distB="0" distL="0" distR="0" simplePos="0" relativeHeight="251658240" behindDoc="1" locked="0" layoutInCell="1" allowOverlap="1" wp14:editId="197ED79C">
          <wp:simplePos x="0" y="0"/>
          <wp:positionH relativeFrom="margin">
            <wp:posOffset>-88900</wp:posOffset>
          </wp:positionH>
          <wp:positionV relativeFrom="margin">
            <wp:posOffset>-671195</wp:posOffset>
          </wp:positionV>
          <wp:extent cx="1476375" cy="5619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ab/>
    </w:r>
    <w:r>
      <w:rPr>
        <w:rFonts w:ascii="Times New Roman" w:hAnsi="Times New Roman"/>
        <w:b/>
        <w:i/>
        <w:smallCaps/>
        <w:sz w:val="24"/>
      </w:rPr>
      <w:tab/>
    </w:r>
    <w:r>
      <w:rPr>
        <w:rFonts w:ascii="Times New Roman" w:hAnsi="Times New Roman"/>
        <w:b/>
        <w:i/>
        <w:smallCaps/>
        <w:sz w:val="24"/>
      </w:rPr>
      <w:tab/>
    </w:r>
    <w:r w:rsidR="009C09EC"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293F17">
      <w:rPr>
        <w:rFonts w:ascii="Times New Roman" w:hAnsi="Times New Roman"/>
        <w:b/>
        <w:i/>
        <w:smallCaps/>
        <w:sz w:val="24"/>
        <w:lang w:val="it-IT"/>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6.85pt;height:378.8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17E"/>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4AC9"/>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39A6"/>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575B0"/>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3C422"/>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3.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8B3C38-AEB7-409D-A152-1A49C69A0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2633</Words>
  <Characters>15013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Massimiliano Lippolis</cp:lastModifiedBy>
  <cp:revision>23</cp:revision>
  <cp:lastPrinted>2018-04-23T09:17:00Z</cp:lastPrinted>
  <dcterms:created xsi:type="dcterms:W3CDTF">2021-07-13T13:13:00Z</dcterms:created>
  <dcterms:modified xsi:type="dcterms:W3CDTF">2023-01-23T11:20:00Z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