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4A9D9" w14:textId="77777777" w:rsidR="00B62477" w:rsidRDefault="00B62477" w:rsidP="00B62477">
      <w:pPr>
        <w:jc w:val="center"/>
        <w:rPr>
          <w:rFonts w:ascii="Arial" w:hAnsi="Arial" w:cs="Arial"/>
          <w:b/>
          <w:sz w:val="28"/>
          <w:szCs w:val="28"/>
        </w:rPr>
      </w:pPr>
      <w:r w:rsidRPr="005B7D8D">
        <w:rPr>
          <w:rFonts w:ascii="Arial" w:hAnsi="Arial" w:cs="Arial"/>
          <w:b/>
          <w:sz w:val="28"/>
          <w:szCs w:val="28"/>
        </w:rPr>
        <w:t>Allegato 1</w:t>
      </w:r>
    </w:p>
    <w:p w14:paraId="59E4B49C" w14:textId="77777777" w:rsidR="00B62477" w:rsidRPr="005B7D8D" w:rsidRDefault="00B62477" w:rsidP="00B62477">
      <w:pPr>
        <w:jc w:val="center"/>
        <w:rPr>
          <w:rFonts w:ascii="Arial" w:hAnsi="Arial" w:cs="Arial"/>
          <w:b/>
          <w:sz w:val="28"/>
          <w:szCs w:val="28"/>
        </w:rPr>
      </w:pPr>
    </w:p>
    <w:p w14:paraId="35F1A927" w14:textId="77777777" w:rsidR="00B62477" w:rsidRPr="006E622A" w:rsidRDefault="00B62477" w:rsidP="00B62477">
      <w:pPr>
        <w:spacing w:after="240"/>
        <w:jc w:val="both"/>
        <w:rPr>
          <w:rFonts w:ascii="Arial" w:hAnsi="Arial" w:cs="Arial"/>
        </w:rPr>
      </w:pPr>
      <w:r w:rsidRPr="006E622A">
        <w:rPr>
          <w:rFonts w:ascii="Arial" w:hAnsi="Arial" w:cs="Arial"/>
        </w:rPr>
        <w:t>VISTO il Regolamento (UE) 12 febbraio 2021, n. 2021/241, che istituisce il dispositivo per la ripresa e la resilienza;</w:t>
      </w:r>
    </w:p>
    <w:p w14:paraId="12F306E7" w14:textId="77777777" w:rsidR="00B62477" w:rsidRPr="006E622A" w:rsidRDefault="00B62477" w:rsidP="00B62477">
      <w:pPr>
        <w:spacing w:after="240"/>
        <w:jc w:val="both"/>
        <w:rPr>
          <w:rFonts w:ascii="Arial" w:hAnsi="Arial" w:cs="Arial"/>
        </w:rPr>
      </w:pPr>
      <w:r w:rsidRPr="006E622A">
        <w:rPr>
          <w:rFonts w:ascii="Arial" w:hAnsi="Arial" w:cs="Arial"/>
        </w:rPr>
        <w:t>VISTO il Piano Nazionale di Ripresa e Resilienza (PNRR) approvato con Decisione del Consiglio ECOFIN del 13 luglio 2021 e notificata all’Italia dal Segretariato generale del Consiglio con nota LT161/21, del 14 luglio 2021;</w:t>
      </w:r>
    </w:p>
    <w:p w14:paraId="105C7535" w14:textId="2D3ACAD4" w:rsidR="00B62477" w:rsidRPr="006E622A" w:rsidRDefault="00B62477" w:rsidP="00B62477">
      <w:pPr>
        <w:spacing w:after="240"/>
        <w:jc w:val="both"/>
      </w:pPr>
      <w:r w:rsidRPr="006E622A">
        <w:rPr>
          <w:rFonts w:ascii="Arial" w:hAnsi="Arial" w:cs="Arial"/>
        </w:rPr>
        <w:t>VISTA, in particolare, la Misura ____ Componente_ Investimento/</w:t>
      </w:r>
      <w:proofErr w:type="spellStart"/>
      <w:r w:rsidRPr="006E622A">
        <w:rPr>
          <w:rFonts w:ascii="Arial" w:hAnsi="Arial" w:cs="Arial"/>
        </w:rPr>
        <w:t>subinvestimento</w:t>
      </w:r>
      <w:proofErr w:type="spellEnd"/>
      <w:r w:rsidRPr="006E622A">
        <w:rPr>
          <w:rFonts w:ascii="Arial" w:hAnsi="Arial" w:cs="Arial"/>
        </w:rPr>
        <w:t>/riforma_______ del PNRR che prevede ________</w:t>
      </w:r>
      <w:r w:rsidRPr="006E622A">
        <w:t>;</w:t>
      </w:r>
    </w:p>
    <w:p w14:paraId="460928F4" w14:textId="77777777" w:rsidR="00B62477" w:rsidRPr="006E622A" w:rsidRDefault="00B62477" w:rsidP="00B62477">
      <w:pPr>
        <w:spacing w:after="240"/>
        <w:jc w:val="both"/>
        <w:rPr>
          <w:rFonts w:ascii="Arial" w:hAnsi="Arial" w:cs="Arial"/>
        </w:rPr>
      </w:pPr>
      <w:r w:rsidRPr="006E622A">
        <w:rPr>
          <w:rFonts w:ascii="Arial" w:hAnsi="Arial" w:cs="Arial"/>
        </w:rPr>
        <w:t>VISTO l’Allegato riveduto della Decisione di esecuzione del Consiglio ECOFIN, relativa all'approvazione della valutazione del PNRR dell'Italia, del 8 luglio 2021, nel quale vengono indicati le riforme e i progetti di investimento previsti dal PNRR, le modalità e il calendario per il monitoraggio e l'attuazione del piano, i traguardi e gli obiettivi connessi all'erogazione del prestito, gli indicatori rilevanti relativi al loro conseguimento e le modalità per dare alla Commissione europea pieno accesso ai dati pertinenti;</w:t>
      </w:r>
    </w:p>
    <w:p w14:paraId="6874E30B" w14:textId="77777777" w:rsidR="00B62477" w:rsidRPr="006E622A" w:rsidRDefault="00B62477" w:rsidP="00B62477">
      <w:pPr>
        <w:spacing w:after="240"/>
        <w:jc w:val="both"/>
        <w:rPr>
          <w:rFonts w:ascii="Arial" w:hAnsi="Arial" w:cs="Arial"/>
        </w:rPr>
      </w:pPr>
      <w:r w:rsidRPr="006E622A">
        <w:rPr>
          <w:rFonts w:ascii="Arial" w:hAnsi="Arial" w:cs="Arial"/>
        </w:rPr>
        <w:t>VISTI gli obblighi di assicurare il conseguimento di target e milestone e degli obiettivi finanziari stabiliti nel richiamato Allegato riveduto, quali:</w:t>
      </w:r>
    </w:p>
    <w:p w14:paraId="673704FF" w14:textId="3AE7D657" w:rsidR="00B62477" w:rsidRPr="006E622A" w:rsidRDefault="00B62477" w:rsidP="00B62477">
      <w:pPr>
        <w:pStyle w:val="Paragrafoelenco"/>
        <w:numPr>
          <w:ilvl w:val="0"/>
          <w:numId w:val="1"/>
        </w:numPr>
        <w:spacing w:after="240"/>
        <w:jc w:val="both"/>
        <w:rPr>
          <w:rFonts w:ascii="Arial" w:hAnsi="Arial" w:cs="Arial"/>
        </w:rPr>
      </w:pPr>
      <w:r w:rsidRPr="006E622A">
        <w:rPr>
          <w:rFonts w:ascii="Arial" w:hAnsi="Arial" w:cs="Arial"/>
        </w:rPr>
        <w:t>milestone M</w:t>
      </w:r>
      <w:r w:rsidR="00CE41C1">
        <w:rPr>
          <w:rFonts w:ascii="Arial" w:hAnsi="Arial" w:cs="Arial"/>
        </w:rPr>
        <w:t>X</w:t>
      </w:r>
      <w:r w:rsidRPr="006E622A">
        <w:rPr>
          <w:rFonts w:ascii="Arial" w:hAnsi="Arial" w:cs="Arial"/>
        </w:rPr>
        <w:t>C</w:t>
      </w:r>
      <w:r w:rsidR="00CE41C1">
        <w:rPr>
          <w:rFonts w:ascii="Arial" w:hAnsi="Arial" w:cs="Arial"/>
        </w:rPr>
        <w:t>X</w:t>
      </w:r>
      <w:r w:rsidRPr="006E622A">
        <w:rPr>
          <w:rFonts w:ascii="Arial" w:hAnsi="Arial" w:cs="Arial"/>
        </w:rPr>
        <w:t>-</w:t>
      </w:r>
      <w:r w:rsidR="00CE41C1">
        <w:rPr>
          <w:rFonts w:ascii="Arial" w:hAnsi="Arial" w:cs="Arial"/>
        </w:rPr>
        <w:t>X</w:t>
      </w:r>
      <w:r w:rsidRPr="006E622A">
        <w:rPr>
          <w:rFonts w:ascii="Arial" w:hAnsi="Arial" w:cs="Arial"/>
        </w:rPr>
        <w:t xml:space="preserve"> al T</w:t>
      </w:r>
      <w:r w:rsidR="00CE41C1">
        <w:rPr>
          <w:rFonts w:ascii="Arial" w:hAnsi="Arial" w:cs="Arial"/>
        </w:rPr>
        <w:t>X</w:t>
      </w:r>
      <w:r w:rsidRPr="006E622A">
        <w:rPr>
          <w:rFonts w:ascii="Arial" w:hAnsi="Arial" w:cs="Arial"/>
        </w:rPr>
        <w:t xml:space="preserve"> 202</w:t>
      </w:r>
      <w:r w:rsidR="00CE41C1">
        <w:rPr>
          <w:rFonts w:ascii="Arial" w:hAnsi="Arial" w:cs="Arial"/>
        </w:rPr>
        <w:t>X</w:t>
      </w:r>
      <w:r w:rsidRPr="006E622A">
        <w:rPr>
          <w:rFonts w:ascii="Arial" w:hAnsi="Arial" w:cs="Arial"/>
        </w:rPr>
        <w:t>, prevede ________</w:t>
      </w:r>
    </w:p>
    <w:p w14:paraId="44C788F9" w14:textId="5FA84FC4" w:rsidR="00B62477" w:rsidRDefault="00B62477" w:rsidP="00B62477">
      <w:pPr>
        <w:pStyle w:val="Paragrafoelenco"/>
        <w:numPr>
          <w:ilvl w:val="0"/>
          <w:numId w:val="1"/>
        </w:numPr>
        <w:spacing w:after="240"/>
        <w:jc w:val="both"/>
        <w:rPr>
          <w:rFonts w:ascii="Arial" w:hAnsi="Arial" w:cs="Arial"/>
        </w:rPr>
      </w:pPr>
      <w:r w:rsidRPr="006E622A">
        <w:rPr>
          <w:rFonts w:ascii="Arial" w:hAnsi="Arial" w:cs="Arial"/>
        </w:rPr>
        <w:t>target M</w:t>
      </w:r>
      <w:r w:rsidR="00CE41C1">
        <w:rPr>
          <w:rFonts w:ascii="Arial" w:hAnsi="Arial" w:cs="Arial"/>
        </w:rPr>
        <w:t>X</w:t>
      </w:r>
      <w:r w:rsidRPr="006E622A">
        <w:rPr>
          <w:rFonts w:ascii="Arial" w:hAnsi="Arial" w:cs="Arial"/>
        </w:rPr>
        <w:t>C</w:t>
      </w:r>
      <w:r w:rsidR="00CE41C1">
        <w:rPr>
          <w:rFonts w:ascii="Arial" w:hAnsi="Arial" w:cs="Arial"/>
        </w:rPr>
        <w:t>X</w:t>
      </w:r>
      <w:r w:rsidRPr="006E622A">
        <w:rPr>
          <w:rFonts w:ascii="Arial" w:hAnsi="Arial" w:cs="Arial"/>
        </w:rPr>
        <w:t>-</w:t>
      </w:r>
      <w:r w:rsidR="00CE41C1">
        <w:rPr>
          <w:rFonts w:ascii="Arial" w:hAnsi="Arial" w:cs="Arial"/>
        </w:rPr>
        <w:t>X</w:t>
      </w:r>
      <w:r w:rsidRPr="006E622A">
        <w:rPr>
          <w:rFonts w:ascii="Arial" w:hAnsi="Arial" w:cs="Arial"/>
        </w:rPr>
        <w:t xml:space="preserve"> al T</w:t>
      </w:r>
      <w:r w:rsidR="00CE41C1">
        <w:rPr>
          <w:rFonts w:ascii="Arial" w:hAnsi="Arial" w:cs="Arial"/>
        </w:rPr>
        <w:t>X</w:t>
      </w:r>
      <w:r w:rsidRPr="006E622A">
        <w:rPr>
          <w:rFonts w:ascii="Arial" w:hAnsi="Arial" w:cs="Arial"/>
        </w:rPr>
        <w:t xml:space="preserve"> 202</w:t>
      </w:r>
      <w:r w:rsidR="00CE41C1">
        <w:rPr>
          <w:rFonts w:ascii="Arial" w:hAnsi="Arial" w:cs="Arial"/>
        </w:rPr>
        <w:t>X</w:t>
      </w:r>
      <w:r w:rsidRPr="006E622A">
        <w:rPr>
          <w:rFonts w:ascii="Arial" w:hAnsi="Arial" w:cs="Arial"/>
        </w:rPr>
        <w:t>, prevede ________</w:t>
      </w:r>
    </w:p>
    <w:p w14:paraId="35DE863C" w14:textId="77777777" w:rsidR="00B62477" w:rsidRPr="006E622A" w:rsidRDefault="00B62477" w:rsidP="00B62477">
      <w:pPr>
        <w:spacing w:after="240"/>
        <w:jc w:val="both"/>
        <w:rPr>
          <w:rFonts w:ascii="Arial" w:hAnsi="Arial" w:cs="Arial"/>
        </w:rPr>
      </w:pPr>
      <w:r w:rsidRPr="006E622A">
        <w:rPr>
          <w:rFonts w:ascii="Arial" w:hAnsi="Arial" w:cs="Arial"/>
        </w:rPr>
        <w:t xml:space="preserve">VISTO il 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6E622A">
        <w:rPr>
          <w:rFonts w:ascii="Arial" w:hAnsi="Arial" w:cs="Arial"/>
        </w:rPr>
        <w:t>Euratom</w:t>
      </w:r>
      <w:proofErr w:type="spellEnd"/>
      <w:r w:rsidRPr="006E622A">
        <w:rPr>
          <w:rFonts w:ascii="Arial" w:hAnsi="Arial" w:cs="Arial"/>
        </w:rPr>
        <w:t xml:space="preserve">) n. 966/2012; </w:t>
      </w:r>
    </w:p>
    <w:p w14:paraId="34D0741B" w14:textId="77777777" w:rsidR="00B62477" w:rsidRPr="006E622A" w:rsidRDefault="00B62477" w:rsidP="00B62477">
      <w:pPr>
        <w:spacing w:after="240"/>
        <w:jc w:val="both"/>
        <w:rPr>
          <w:rFonts w:ascii="Arial" w:hAnsi="Arial" w:cs="Arial"/>
        </w:rPr>
      </w:pPr>
      <w:r w:rsidRPr="006E622A">
        <w:rPr>
          <w:rFonts w:ascii="Arial" w:hAnsi="Arial" w:cs="Arial"/>
        </w:rPr>
        <w:t>VISTO il Regolamento (UE) 2021/1058 del 24 giugno 2021</w:t>
      </w:r>
      <w:r w:rsidRPr="006E622A">
        <w:t xml:space="preserve"> </w:t>
      </w:r>
      <w:r w:rsidRPr="006E622A">
        <w:rPr>
          <w:rFonts w:ascii="Arial" w:hAnsi="Arial" w:cs="Arial"/>
        </w:rPr>
        <w:t>relativo al Fondo europeo di sviluppo regionale e al Fondo di coesione e il Regolamento (UE) 2021/1060 del 24 giugno 2021</w:t>
      </w:r>
      <w:r w:rsidRPr="006E622A">
        <w:t xml:space="preserve"> </w:t>
      </w:r>
      <w:r w:rsidRPr="006E622A">
        <w:rPr>
          <w:rFonts w:ascii="Arial" w:hAnsi="Arial" w:cs="Arial"/>
        </w:rPr>
        <w:t xml:space="preserve">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w:t>
      </w:r>
      <w:r w:rsidRPr="006E622A">
        <w:rPr>
          <w:rFonts w:ascii="Arial" w:hAnsi="Arial" w:cs="Arial"/>
        </w:rPr>
        <w:lastRenderedPageBreak/>
        <w:t>interna e allo Strumento di sostegno finanziario per la gestione delle frontiere e la politica dei visti;</w:t>
      </w:r>
    </w:p>
    <w:p w14:paraId="3C02EE26" w14:textId="6F41D576" w:rsidR="00B62477" w:rsidRPr="006E622A" w:rsidRDefault="00B62477" w:rsidP="00B62477">
      <w:pPr>
        <w:spacing w:after="240"/>
        <w:jc w:val="both"/>
        <w:rPr>
          <w:rFonts w:ascii="Arial" w:hAnsi="Arial" w:cs="Arial"/>
          <w:b/>
          <w:i/>
        </w:rPr>
      </w:pPr>
      <w:r w:rsidRPr="006E622A">
        <w:rPr>
          <w:rFonts w:ascii="Arial" w:hAnsi="Arial" w:cs="Arial"/>
        </w:rPr>
        <w:t xml:space="preserve">VISTO il decreto-legge 6 maggio 2021, n. 59 convertito con modificazioni dalla legge del </w:t>
      </w:r>
      <w:proofErr w:type="gramStart"/>
      <w:r w:rsidRPr="006E622A">
        <w:rPr>
          <w:rFonts w:ascii="Arial" w:hAnsi="Arial" w:cs="Arial"/>
        </w:rPr>
        <w:t>1</w:t>
      </w:r>
      <w:r w:rsidR="00CE41C1">
        <w:rPr>
          <w:rFonts w:ascii="Arial" w:hAnsi="Arial" w:cs="Arial"/>
        </w:rPr>
        <w:t xml:space="preserve"> </w:t>
      </w:r>
      <w:r w:rsidRPr="006E622A">
        <w:rPr>
          <w:rFonts w:ascii="Arial" w:hAnsi="Arial" w:cs="Arial"/>
        </w:rPr>
        <w:t>luglio</w:t>
      </w:r>
      <w:proofErr w:type="gramEnd"/>
      <w:r w:rsidR="00CE41C1">
        <w:rPr>
          <w:rFonts w:ascii="Arial" w:hAnsi="Arial" w:cs="Arial"/>
        </w:rPr>
        <w:t xml:space="preserve"> </w:t>
      </w:r>
      <w:r w:rsidRPr="006E622A">
        <w:rPr>
          <w:rFonts w:ascii="Arial" w:hAnsi="Arial" w:cs="Arial"/>
        </w:rPr>
        <w:t xml:space="preserve">2021, n. 101, recante “Misure urgenti relative al Fondo complementare al Piano nazionale di ripresa e resilienza e altre misure urgenti per gli investimenti”; </w:t>
      </w:r>
      <w:r w:rsidRPr="006E622A">
        <w:rPr>
          <w:rFonts w:ascii="Arial" w:hAnsi="Arial" w:cs="Arial"/>
          <w:b/>
          <w:i/>
        </w:rPr>
        <w:t xml:space="preserve">[da utilizzare nel caso in cui il finanziamento sia inserito non esclusivamente nel PNRR ma </w:t>
      </w:r>
      <w:bookmarkStart w:id="0" w:name="_Hlk121490208"/>
      <w:r w:rsidRPr="006E622A">
        <w:rPr>
          <w:rFonts w:ascii="Arial" w:hAnsi="Arial" w:cs="Arial"/>
          <w:b/>
          <w:i/>
        </w:rPr>
        <w:t>sia completato con le risorse del PNC di cui al decreto legge 59/2021]</w:t>
      </w:r>
    </w:p>
    <w:bookmarkEnd w:id="0"/>
    <w:p w14:paraId="57770670" w14:textId="77777777" w:rsidR="00B62477" w:rsidRPr="006E622A" w:rsidRDefault="00B62477" w:rsidP="00B62477">
      <w:pPr>
        <w:spacing w:after="240"/>
        <w:jc w:val="both"/>
        <w:rPr>
          <w:rFonts w:ascii="Arial" w:hAnsi="Arial" w:cs="Arial"/>
        </w:rPr>
      </w:pPr>
      <w:r w:rsidRPr="006E622A">
        <w:rPr>
          <w:rFonts w:ascii="Arial" w:hAnsi="Arial" w:cs="Arial"/>
        </w:rPr>
        <w:t>VISTO il decreto-legge del 31 maggio 2021, n. 77, convertito con modificazioni dalla legge di 29 luglio 2021, n. 108, recante: «Governance del Piano nazionale di ripresa e resilienza e prime misure di rafforzamento delle strutture amministrative e di accelerazione e snellimento delle procedure»;</w:t>
      </w:r>
    </w:p>
    <w:p w14:paraId="0C3EE057" w14:textId="77777777" w:rsidR="00B62477" w:rsidRPr="006E622A" w:rsidRDefault="00B62477" w:rsidP="00B62477">
      <w:pPr>
        <w:spacing w:after="240"/>
        <w:jc w:val="both"/>
        <w:rPr>
          <w:rFonts w:ascii="Arial" w:hAnsi="Arial" w:cs="Arial"/>
        </w:rPr>
      </w:pPr>
      <w:r w:rsidRPr="006E622A">
        <w:rPr>
          <w:rFonts w:ascii="Arial" w:hAnsi="Arial" w:cs="Arial"/>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6331216D" w14:textId="54F0379F" w:rsidR="00B62477" w:rsidRDefault="00B62477" w:rsidP="00B62477">
      <w:pPr>
        <w:spacing w:after="240"/>
        <w:jc w:val="both"/>
        <w:rPr>
          <w:rFonts w:ascii="Arial" w:hAnsi="Arial" w:cs="Arial"/>
        </w:rPr>
      </w:pPr>
      <w:r w:rsidRPr="006E622A">
        <w:rPr>
          <w:rFonts w:ascii="Arial" w:hAnsi="Arial" w:cs="Arial"/>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7B80ED7A" w14:textId="77777777" w:rsidR="009E7DF6" w:rsidRDefault="00EE2D48" w:rsidP="00B62477">
      <w:pPr>
        <w:spacing w:after="240"/>
        <w:jc w:val="both"/>
        <w:rPr>
          <w:rFonts w:ascii="Arial" w:hAnsi="Arial" w:cs="Arial"/>
        </w:rPr>
      </w:pPr>
      <w:r w:rsidRPr="00EE2D48">
        <w:rPr>
          <w:rFonts w:ascii="Arial" w:hAnsi="Arial" w:cs="Arial"/>
        </w:rPr>
        <w:t>VISTO l’articolo 25, comma 2, del decreto-legge 24 aprile 2014, n. 66 che, al fine di assicurare l’effettiva tracciabilità dei pagamenti da parte delle pubbliche amministrazioni prevede l’apposizione del codice identificativo di gara (CIG) e del Codice unico di progetto (CUP) nelle fatture elettroniche ricevute;</w:t>
      </w:r>
    </w:p>
    <w:p w14:paraId="2C7B3D4C" w14:textId="3DDA51CD" w:rsidR="00664C83" w:rsidRDefault="00B62477" w:rsidP="00B62477">
      <w:pPr>
        <w:spacing w:after="240"/>
        <w:jc w:val="both"/>
        <w:rPr>
          <w:rFonts w:ascii="Arial" w:hAnsi="Arial" w:cs="Arial"/>
        </w:rPr>
      </w:pPr>
      <w:r w:rsidRPr="006E622A">
        <w:rPr>
          <w:rFonts w:ascii="Arial" w:hAnsi="Arial" w:cs="Arial"/>
        </w:rPr>
        <w:t>VISTA la delibera del CIPE n. 63 del 26 novembre 2020 che introduce la normativa attuativa della riforma del CUP;</w:t>
      </w:r>
    </w:p>
    <w:p w14:paraId="11FDB0FB" w14:textId="62AFB400" w:rsidR="00664C83" w:rsidRPr="006E622A" w:rsidRDefault="00664C83" w:rsidP="00B62477">
      <w:pPr>
        <w:spacing w:after="240"/>
        <w:jc w:val="both"/>
        <w:rPr>
          <w:rFonts w:ascii="Arial" w:hAnsi="Arial" w:cs="Arial"/>
        </w:rPr>
      </w:pPr>
      <w:r w:rsidRPr="00C80868">
        <w:rPr>
          <w:rFonts w:ascii="Arial" w:hAnsi="Arial" w:cs="Arial"/>
        </w:rPr>
        <w:t xml:space="preserve">VISTO il decreto del Presidente del Consiglio dei ministri 9 luglio 2021, che individua le amministrazioni centrali di cui all’articolo 8 del </w:t>
      </w:r>
      <w:proofErr w:type="gramStart"/>
      <w:r w:rsidRPr="00C80868">
        <w:rPr>
          <w:rFonts w:ascii="Arial" w:hAnsi="Arial" w:cs="Arial"/>
        </w:rPr>
        <w:t>decreto legge</w:t>
      </w:r>
      <w:proofErr w:type="gramEnd"/>
      <w:r w:rsidRPr="00C80868">
        <w:rPr>
          <w:rFonts w:ascii="Arial" w:hAnsi="Arial" w:cs="Arial"/>
        </w:rPr>
        <w:t xml:space="preserve"> 31 maggio 2021, n. 77, titolari di interventi previsti nel PNRR, che provvedono al coordinamento delle relative attività di gestione nonché al loro monitoraggio, rendicontazione e controllo;</w:t>
      </w:r>
    </w:p>
    <w:p w14:paraId="117BE106" w14:textId="684662DB" w:rsidR="00B62477" w:rsidRDefault="00B62477" w:rsidP="00B62477">
      <w:pPr>
        <w:spacing w:after="240"/>
        <w:jc w:val="both"/>
        <w:rPr>
          <w:rFonts w:ascii="Arial" w:hAnsi="Arial" w:cs="Arial"/>
        </w:rPr>
      </w:pPr>
      <w:r w:rsidRPr="006E622A">
        <w:rPr>
          <w:rFonts w:ascii="Arial" w:hAnsi="Arial" w:cs="Arial"/>
        </w:rPr>
        <w:lastRenderedPageBreak/>
        <w:t>VISTO il decreto del Ministro dell’economia e delle finanze del 6 agosto 2021 relativo all’assegnazione delle risorse in favore di ciascuna Amministrazione titolare degli interventi PNRR e corrispondenti milestone e target;</w:t>
      </w:r>
    </w:p>
    <w:p w14:paraId="6F4B5ECC" w14:textId="1F92F9F2" w:rsidR="00493884" w:rsidRPr="006E622A" w:rsidRDefault="00493884" w:rsidP="00B62477">
      <w:pPr>
        <w:spacing w:after="240"/>
        <w:jc w:val="both"/>
        <w:rPr>
          <w:rFonts w:ascii="Arial" w:hAnsi="Arial" w:cs="Arial"/>
        </w:rPr>
      </w:pPr>
      <w:r w:rsidRPr="00C80868">
        <w:rPr>
          <w:rFonts w:ascii="Arial" w:hAnsi="Arial" w:cs="Arial"/>
        </w:rPr>
        <w:t>VISTO l’articolo 10, comma 3 del decreto-legge 10 settembre 2021, n. 121, ai sensi del quale la notifica della decisione di esecuzione del consiglio UE – ECOFIN recante «Approvazione della Valutazione del Piano Nazionale di Ripresa e Resilienza dell'Italia», unitamente al citato decreto del Ministro dell'economia e delle finanze</w:t>
      </w:r>
      <w:r w:rsidR="002B693B">
        <w:rPr>
          <w:rFonts w:ascii="Arial" w:hAnsi="Arial" w:cs="Arial"/>
        </w:rPr>
        <w:t xml:space="preserve"> del 6 agosto 2021</w:t>
      </w:r>
      <w:r w:rsidRPr="00C80868">
        <w:rPr>
          <w:rFonts w:ascii="Arial" w:hAnsi="Arial" w:cs="Arial"/>
        </w:rPr>
        <w:t>, costituiscono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medesimo decreto;</w:t>
      </w:r>
    </w:p>
    <w:p w14:paraId="587460D8" w14:textId="546577C8" w:rsidR="00B62477" w:rsidRPr="006E622A" w:rsidRDefault="00B62477" w:rsidP="00B62477">
      <w:pPr>
        <w:spacing w:after="240"/>
        <w:jc w:val="both"/>
        <w:rPr>
          <w:rFonts w:ascii="Arial" w:hAnsi="Arial" w:cs="Arial"/>
        </w:rPr>
      </w:pPr>
      <w:r w:rsidRPr="006E622A">
        <w:rPr>
          <w:rFonts w:ascii="Arial" w:hAnsi="Arial" w:cs="Arial"/>
        </w:rPr>
        <w:t>VISTO 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03B42B1E" w14:textId="4CA158D0" w:rsidR="00B62477" w:rsidRDefault="00B62477" w:rsidP="00B62477">
      <w:pPr>
        <w:spacing w:after="240"/>
        <w:jc w:val="both"/>
        <w:rPr>
          <w:rFonts w:ascii="Arial" w:hAnsi="Arial" w:cs="Arial"/>
        </w:rPr>
      </w:pPr>
      <w:r w:rsidRPr="006E622A">
        <w:rPr>
          <w:rFonts w:ascii="Arial" w:hAnsi="Arial" w:cs="Arial"/>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402D6CBA" w14:textId="29B0EB39" w:rsidR="00A0090D" w:rsidRDefault="00961844" w:rsidP="00B62477">
      <w:pPr>
        <w:spacing w:after="240"/>
        <w:jc w:val="both"/>
        <w:rPr>
          <w:rFonts w:ascii="Arial" w:hAnsi="Arial" w:cs="Arial"/>
        </w:rPr>
      </w:pPr>
      <w:r w:rsidRPr="00C80868">
        <w:rPr>
          <w:rFonts w:ascii="Arial" w:hAnsi="Arial" w:cs="Arial"/>
        </w:rPr>
        <w:t>VISTO l’articolo 1 comma 1044</w:t>
      </w:r>
      <w:r w:rsidR="00A0090D" w:rsidRPr="00C80868">
        <w:rPr>
          <w:rFonts w:ascii="Arial" w:hAnsi="Arial" w:cs="Arial"/>
        </w:rPr>
        <w:t xml:space="preserve"> della legge 30 dicembre 2020, n. 178, che prevede che, con decreto del Presidente del Consiglio dei ministri, su proposta del Ministro dell’economia e delle finanze, sono definite le modalità di rilevazione dei dati di attuazione finanziaria, fisica e procedurale relativi a ciascun progetto;</w:t>
      </w:r>
    </w:p>
    <w:p w14:paraId="31E6DFE9" w14:textId="2411210B" w:rsidR="00B62477" w:rsidRPr="006E622A" w:rsidRDefault="00B62477" w:rsidP="00B62477">
      <w:pPr>
        <w:spacing w:after="240"/>
        <w:jc w:val="both"/>
        <w:rPr>
          <w:rFonts w:ascii="Arial" w:hAnsi="Arial" w:cs="Arial"/>
        </w:rPr>
      </w:pPr>
      <w:r w:rsidRPr="006E622A">
        <w:rPr>
          <w:rFonts w:ascii="Arial" w:hAnsi="Arial" w:cs="Arial"/>
        </w:rPr>
        <w:t xml:space="preserve">VISTO l’articolo 17 Regolamento UE 2020/852 che definisce gli obiettivi ambientali, tra cui il principio di non arrecare un danno significativo (DNSH, “Do no </w:t>
      </w:r>
      <w:proofErr w:type="spellStart"/>
      <w:r w:rsidRPr="006E622A">
        <w:rPr>
          <w:rFonts w:ascii="Arial" w:hAnsi="Arial" w:cs="Arial"/>
        </w:rPr>
        <w:t>significant</w:t>
      </w:r>
      <w:proofErr w:type="spellEnd"/>
      <w:r w:rsidRPr="006E622A">
        <w:rPr>
          <w:rFonts w:ascii="Arial" w:hAnsi="Arial" w:cs="Arial"/>
        </w:rPr>
        <w:t xml:space="preserve"> </w:t>
      </w:r>
      <w:proofErr w:type="spellStart"/>
      <w:r w:rsidRPr="006E622A">
        <w:rPr>
          <w:rFonts w:ascii="Arial" w:hAnsi="Arial" w:cs="Arial"/>
        </w:rPr>
        <w:t>harm</w:t>
      </w:r>
      <w:proofErr w:type="spellEnd"/>
      <w:r w:rsidRPr="006E622A">
        <w:rPr>
          <w:rFonts w:ascii="Arial" w:hAnsi="Arial" w:cs="Arial"/>
        </w:rPr>
        <w:t>”), e la Comunicazione della Commissione UE 2021/C 58/01 recante “Orientamenti tecnici sull’applicazione del principio «non arrecare un danno significativo» a norma del regolamento sul dispositivo per la ripresa e la resilienza”;</w:t>
      </w:r>
    </w:p>
    <w:p w14:paraId="0128C876" w14:textId="47E57384" w:rsidR="00B62477" w:rsidRDefault="00B62477" w:rsidP="00B62477">
      <w:pPr>
        <w:spacing w:after="240"/>
        <w:jc w:val="both"/>
        <w:rPr>
          <w:rFonts w:ascii="Arial" w:hAnsi="Arial" w:cs="Arial"/>
        </w:rPr>
      </w:pPr>
      <w:r w:rsidRPr="006E622A">
        <w:rPr>
          <w:rFonts w:ascii="Arial" w:hAnsi="Arial" w:cs="Arial"/>
        </w:rPr>
        <w:lastRenderedPageBreak/>
        <w:t>VISTI i principi trasversali previsti dal PNRR, quali, tra l’altro, il principio del contributo all’obiettivo climatico e digitale (c.d. tagging), il principio di parità di genere e l’obbligo di protezione e valorizzazione dei giovani;</w:t>
      </w:r>
    </w:p>
    <w:p w14:paraId="7AE5CAE4" w14:textId="2BC4F1C0" w:rsidR="00EE2D48" w:rsidRDefault="00EE2D48" w:rsidP="00B62477">
      <w:pPr>
        <w:spacing w:after="240"/>
        <w:jc w:val="both"/>
        <w:rPr>
          <w:rFonts w:ascii="Arial" w:hAnsi="Arial" w:cs="Arial"/>
        </w:rPr>
      </w:pPr>
      <w:r w:rsidRPr="00EE2D48">
        <w:rPr>
          <w:rFonts w:ascii="Arial" w:hAnsi="Arial" w:cs="Arial"/>
        </w:rPr>
        <w:t>VISTO il Decreto 7 dicembre 2021 del Dipartimento per le pari opportunità della Presidenza del Consiglio dei ministri, “Adozione delle linee guida volte a favorire la pari opportunità di genere e generazionali, nonché l'inclusione lavorativa delle persone con disabilità nei contratti pubblici finanziati con le risorse del PNRR e del PNC”, pubblicato sulla Gazzetta Ufficiale, Serie generale, n.309 del 30 dicembre 2021;</w:t>
      </w:r>
    </w:p>
    <w:p w14:paraId="539B2C18" w14:textId="5CD92DE4" w:rsidR="00EE2D48" w:rsidRDefault="00EE2D48" w:rsidP="00B62477">
      <w:pPr>
        <w:spacing w:after="240"/>
        <w:jc w:val="both"/>
        <w:rPr>
          <w:rFonts w:ascii="Arial" w:hAnsi="Arial" w:cs="Arial"/>
        </w:rPr>
      </w:pPr>
      <w:r w:rsidRPr="00EE2D48">
        <w:rPr>
          <w:rFonts w:ascii="Arial" w:hAnsi="Arial" w:cs="Arial"/>
        </w:rPr>
        <w:t xml:space="preserve">VISTI gli </w:t>
      </w:r>
      <w:proofErr w:type="spellStart"/>
      <w:r w:rsidRPr="00EE2D48">
        <w:rPr>
          <w:rFonts w:ascii="Arial" w:hAnsi="Arial" w:cs="Arial"/>
          <w:i/>
          <w:iCs/>
        </w:rPr>
        <w:t>Operational</w:t>
      </w:r>
      <w:proofErr w:type="spellEnd"/>
      <w:r w:rsidRPr="00EE2D48">
        <w:rPr>
          <w:rFonts w:ascii="Arial" w:hAnsi="Arial" w:cs="Arial"/>
          <w:i/>
          <w:iCs/>
        </w:rPr>
        <w:t xml:space="preserve"> </w:t>
      </w:r>
      <w:proofErr w:type="spellStart"/>
      <w:r w:rsidRPr="00EE2D48">
        <w:rPr>
          <w:rFonts w:ascii="Arial" w:hAnsi="Arial" w:cs="Arial"/>
          <w:i/>
          <w:iCs/>
        </w:rPr>
        <w:t>Arrangements</w:t>
      </w:r>
      <w:proofErr w:type="spellEnd"/>
      <w:r w:rsidRPr="00EE2D48">
        <w:rPr>
          <w:rFonts w:ascii="Arial" w:hAnsi="Arial" w:cs="Arial"/>
        </w:rPr>
        <w:t xml:space="preserve"> siglati fra la Commissione Europea e il Ministero dell’Economia e delle Finanze in data 22 dicembre 2021;</w:t>
      </w:r>
    </w:p>
    <w:p w14:paraId="12C26649" w14:textId="771C856B" w:rsidR="00326E86" w:rsidRDefault="00326E86" w:rsidP="00B62477">
      <w:pPr>
        <w:spacing w:after="240"/>
        <w:jc w:val="both"/>
        <w:rPr>
          <w:rFonts w:ascii="Arial" w:hAnsi="Arial" w:cs="Arial"/>
        </w:rPr>
      </w:pPr>
      <w:bookmarkStart w:id="1" w:name="_Hlk125019985"/>
      <w:r w:rsidRPr="00326E86">
        <w:rPr>
          <w:rFonts w:ascii="Arial" w:hAnsi="Arial" w:cs="Arial"/>
        </w:rPr>
        <w:t>VISTA la Comunicazione della Commissione UE 2021/C 121/01 recante “Orientamenti sulla prevenzione e sulla gestione dei conflitti d’interessi a norma del regolamento finanziario”</w:t>
      </w:r>
      <w:bookmarkEnd w:id="1"/>
      <w:r w:rsidRPr="00326E86">
        <w:rPr>
          <w:rFonts w:ascii="Arial" w:hAnsi="Arial" w:cs="Arial"/>
        </w:rPr>
        <w:t>;</w:t>
      </w:r>
    </w:p>
    <w:p w14:paraId="49EA7F55" w14:textId="041C7AAF" w:rsidR="002F1028" w:rsidRPr="006E622A" w:rsidRDefault="002F1028" w:rsidP="00B62477">
      <w:pPr>
        <w:spacing w:after="240"/>
        <w:jc w:val="both"/>
        <w:rPr>
          <w:rFonts w:ascii="Arial" w:hAnsi="Arial" w:cs="Arial"/>
        </w:rPr>
      </w:pPr>
      <w:r w:rsidRPr="00C80868">
        <w:rPr>
          <w:rFonts w:ascii="Arial" w:hAnsi="Arial" w:cs="Arial"/>
        </w:rPr>
        <w:t>VISTO l’articolo 2 comma 6-bis del decreto-legge 31 maggio 2021, n. 77,</w:t>
      </w:r>
      <w:r w:rsidR="002E356E" w:rsidRPr="00C80868">
        <w:t xml:space="preserve"> </w:t>
      </w:r>
      <w:r w:rsidR="002E356E" w:rsidRPr="00C80868">
        <w:rPr>
          <w:rFonts w:ascii="Arial" w:hAnsi="Arial" w:cs="Arial"/>
        </w:rPr>
        <w:t>convertito con modificazioni dalla legge di 29 luglio 2021, n. 108,</w:t>
      </w:r>
      <w:r w:rsidR="002E356E" w:rsidRPr="00C80868">
        <w:t xml:space="preserve"> </w:t>
      </w:r>
      <w:r w:rsidR="002E356E" w:rsidRPr="00C80868">
        <w:rPr>
          <w:rFonts w:ascii="Arial" w:hAnsi="Arial" w:cs="Arial"/>
        </w:rPr>
        <w:t>il quale prevede che le amministrazioni titolari di interventi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p w14:paraId="149F100A" w14:textId="77777777" w:rsidR="00B62477" w:rsidRPr="006E622A" w:rsidRDefault="00B62477" w:rsidP="00B62477">
      <w:pPr>
        <w:spacing w:after="240"/>
        <w:jc w:val="both"/>
        <w:rPr>
          <w:rFonts w:ascii="Arial" w:hAnsi="Arial" w:cs="Arial"/>
        </w:rPr>
      </w:pPr>
      <w:r w:rsidRPr="006E622A">
        <w:rPr>
          <w:rFonts w:ascii="Arial" w:hAnsi="Arial" w:cs="Arial"/>
        </w:rPr>
        <w:t>VISTO il Decreto del Ministro dello sviluppo economico di concerto con il Ministro dell’Economia e delle Finanze, del 19 novembre 2021 concernente l’istituzione dell’Unità di missione per l’attuazione degli interventi del PNRR, ai sensi dell’articolo 8 del citato decreto-legge del 31 maggio 2021, n. 77;</w:t>
      </w:r>
    </w:p>
    <w:p w14:paraId="353719D0" w14:textId="77777777" w:rsidR="00B62477" w:rsidRPr="006E622A" w:rsidRDefault="00B62477" w:rsidP="00B62477">
      <w:pPr>
        <w:spacing w:after="240"/>
        <w:jc w:val="both"/>
        <w:rPr>
          <w:rFonts w:ascii="Arial" w:hAnsi="Arial" w:cs="Arial"/>
        </w:rPr>
      </w:pPr>
      <w:r w:rsidRPr="006E622A">
        <w:rPr>
          <w:rFonts w:ascii="Arial" w:hAnsi="Arial" w:cs="Arial"/>
        </w:rPr>
        <w:t>VISTA la circolare n. 21 del Ministero dell’Economia e delle Finanze RGS, del 14 ottobre 2021 recante “Piano Nazionale di Ripresa e Resilienza (PNRR) - Trasmissione delle Istruzioni Tecniche per la selezione dei progetti PNRR”;</w:t>
      </w:r>
    </w:p>
    <w:p w14:paraId="1DE61F29" w14:textId="77777777" w:rsidR="00B62477" w:rsidRPr="006E622A" w:rsidRDefault="00B62477" w:rsidP="00B62477">
      <w:pPr>
        <w:spacing w:after="240"/>
        <w:jc w:val="both"/>
        <w:rPr>
          <w:rFonts w:ascii="Arial" w:hAnsi="Arial" w:cs="Arial"/>
        </w:rPr>
      </w:pPr>
      <w:r w:rsidRPr="006E622A">
        <w:rPr>
          <w:rFonts w:ascii="Arial" w:hAnsi="Arial" w:cs="Arial"/>
        </w:rPr>
        <w:t>VISTA la circolare del Ministero dell’Economia e delle Finanze RGS, del 29 ottobre 2021, n. 25 recante “Piano Nazionale di Ripresa e Resilienza (PNRR) – Rilevazione periodica avvisi, bandi e altre procedure di attivazione degli investimenti”;</w:t>
      </w:r>
    </w:p>
    <w:p w14:paraId="20463AE1" w14:textId="77777777" w:rsidR="00B62477" w:rsidRPr="006E622A" w:rsidRDefault="00B62477" w:rsidP="00B62477">
      <w:pPr>
        <w:spacing w:after="240"/>
        <w:jc w:val="both"/>
        <w:rPr>
          <w:rFonts w:ascii="Arial" w:hAnsi="Arial" w:cs="Arial"/>
        </w:rPr>
      </w:pPr>
      <w:r w:rsidRPr="006E622A">
        <w:rPr>
          <w:rFonts w:ascii="Arial" w:hAnsi="Arial" w:cs="Arial"/>
        </w:rPr>
        <w:t>VISTA la circolare n. 32 del Ministero dell’Economia e delle Finanze RGS, del 30 dicembre 2021, recante “Piano Nazionale di Ripresa e Resilienza – Guida operativa per il rispetto del principio di non arrecare danno significativo all’ambiente (DNSH)”;</w:t>
      </w:r>
    </w:p>
    <w:p w14:paraId="414D96CD" w14:textId="77777777" w:rsidR="00B62477" w:rsidRPr="006E622A" w:rsidRDefault="00B62477" w:rsidP="00B62477">
      <w:pPr>
        <w:spacing w:after="240"/>
        <w:jc w:val="both"/>
        <w:rPr>
          <w:rFonts w:ascii="Arial" w:hAnsi="Arial" w:cs="Arial"/>
        </w:rPr>
      </w:pPr>
      <w:r w:rsidRPr="006E622A">
        <w:rPr>
          <w:rFonts w:ascii="Arial" w:hAnsi="Arial" w:cs="Arial"/>
        </w:rPr>
        <w:lastRenderedPageBreak/>
        <w:t>VISTA la circolare del Ministero dell’Economia e delle Finanze RGS, del 31 dicembre 2021, n. 33, “Piano Nazionale di Ripresa e Resilienza (PNRR) – Nota di chiarimento sulla Circolare del 14 ottobre 2021, n. 21 - Trasmissione delle Istruzioni Tecniche per la selezione dei progetti PNRR - addizionalità, finanziamento complementare e obbligo di assenza del c.d. doppio finanziamento”;</w:t>
      </w:r>
    </w:p>
    <w:p w14:paraId="589F1C7D" w14:textId="77777777" w:rsidR="00B62477" w:rsidRPr="006E622A" w:rsidRDefault="00B62477" w:rsidP="00B62477">
      <w:pPr>
        <w:spacing w:after="240"/>
        <w:jc w:val="both"/>
        <w:rPr>
          <w:rFonts w:ascii="Arial" w:hAnsi="Arial" w:cs="Arial"/>
        </w:rPr>
      </w:pPr>
      <w:r w:rsidRPr="006E622A">
        <w:rPr>
          <w:rFonts w:ascii="Arial" w:hAnsi="Arial" w:cs="Arial"/>
        </w:rPr>
        <w:t>VISTA la circolare del Ministero dell’Economia e delle Finanze RGS, del 18 gennaio 2022, n. 4, recante “Piano Nazionale di Ripresa e Resilienza (PNRR) – articolo 1, comma 1, del decreto-legge n. 80 del 2021 - Indicazioni attuative”;</w:t>
      </w:r>
    </w:p>
    <w:p w14:paraId="6B14B9AE" w14:textId="77777777" w:rsidR="00B62477" w:rsidRPr="006E622A" w:rsidRDefault="00B62477" w:rsidP="00B62477">
      <w:pPr>
        <w:spacing w:after="240"/>
        <w:jc w:val="both"/>
        <w:rPr>
          <w:rFonts w:ascii="Arial" w:hAnsi="Arial" w:cs="Arial"/>
        </w:rPr>
      </w:pPr>
      <w:r w:rsidRPr="006E622A">
        <w:rPr>
          <w:rFonts w:ascii="Arial" w:hAnsi="Arial" w:cs="Arial"/>
        </w:rPr>
        <w:t>VISTA la circolare n. 6 del Ministero dell’Economia e delle Finanze RGS, del 24 gennaio 2022, avente ad oggetto “Piano Nazionale di Ripresa e Resilienza (PNRR) – Servizi di assistenza tecnica per le Amministrazioni titolari di interventi e soggetti attuatori del PNRR”;</w:t>
      </w:r>
    </w:p>
    <w:p w14:paraId="152432FD" w14:textId="77777777" w:rsidR="00B62477" w:rsidRPr="006E622A" w:rsidRDefault="00B62477" w:rsidP="00B62477">
      <w:pPr>
        <w:spacing w:after="240"/>
        <w:jc w:val="both"/>
        <w:rPr>
          <w:rFonts w:ascii="Arial" w:hAnsi="Arial" w:cs="Arial"/>
        </w:rPr>
      </w:pPr>
      <w:r w:rsidRPr="006E622A">
        <w:rPr>
          <w:rFonts w:ascii="Arial" w:hAnsi="Arial" w:cs="Arial"/>
        </w:rPr>
        <w:t>VISTA la circolare n. 9 del Ministero dell’Economia e delle Finanze RGS, del 10 febbraio 2022, recante “Piano Nazionale di Ripresa e Resilienza (PNRR) – Trasmissione delle Istruzioni tecniche per la redazione dei sistemi di gestione e controllo delle amministrazioni centrali titolari di interventi del PNRR”;</w:t>
      </w:r>
    </w:p>
    <w:p w14:paraId="28C4C13E" w14:textId="77777777" w:rsidR="00B62477" w:rsidRPr="006E622A" w:rsidRDefault="00B62477" w:rsidP="00B62477">
      <w:pPr>
        <w:spacing w:after="240"/>
        <w:jc w:val="both"/>
        <w:rPr>
          <w:rFonts w:ascii="Arial" w:hAnsi="Arial" w:cs="Arial"/>
        </w:rPr>
      </w:pPr>
      <w:r w:rsidRPr="006E622A">
        <w:rPr>
          <w:rFonts w:ascii="Arial" w:hAnsi="Arial" w:cs="Arial"/>
        </w:rPr>
        <w:t>VISTA la circolare n. 21 del Ministero dell’Economia e delle Finanze RGS, del 29 aprile 2022, recante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1F363D3E" w14:textId="77777777" w:rsidR="00B62477" w:rsidRPr="006E622A" w:rsidRDefault="00B62477" w:rsidP="00B62477">
      <w:pPr>
        <w:spacing w:after="240"/>
        <w:jc w:val="both"/>
        <w:rPr>
          <w:rFonts w:ascii="Arial" w:hAnsi="Arial" w:cs="Arial"/>
        </w:rPr>
      </w:pPr>
      <w:r w:rsidRPr="006E622A">
        <w:rPr>
          <w:rFonts w:ascii="Arial" w:hAnsi="Arial" w:cs="Arial"/>
        </w:rPr>
        <w:t>VISTA la circolare n. 27 del Ministero dell’Economia e delle Finanze RGS, del 21 giugno 2022, recante “Piano Nazionale di Ripresa e Resilienza (PNRR) – Monitoraggio delle misure PNRR”</w:t>
      </w:r>
    </w:p>
    <w:p w14:paraId="7ED84591" w14:textId="77777777" w:rsidR="00B62477" w:rsidRPr="006E622A" w:rsidRDefault="00B62477" w:rsidP="00B62477">
      <w:pPr>
        <w:spacing w:after="240"/>
        <w:jc w:val="both"/>
        <w:rPr>
          <w:rFonts w:ascii="Arial" w:hAnsi="Arial" w:cs="Arial"/>
        </w:rPr>
      </w:pPr>
      <w:r w:rsidRPr="006E622A">
        <w:rPr>
          <w:rFonts w:ascii="Arial" w:hAnsi="Arial" w:cs="Arial"/>
        </w:rPr>
        <w:t>VISTA la circolare n. 28 del Ministero dell’Economia e delle Finanze RGS, del 4 luglio 2022, recante “Controllo di regolarità amministrativa e contabile dei rendiconti di contabilità ordinaria e di contabilità speciale. Controllo di regolarità amministrativa e contabile sugli atti di gestione delle risorse del PNRR - prime indicazioni operative.”</w:t>
      </w:r>
    </w:p>
    <w:p w14:paraId="49F1C7E8" w14:textId="77777777" w:rsidR="00B62477" w:rsidRPr="006E622A" w:rsidRDefault="00B62477" w:rsidP="00B62477">
      <w:pPr>
        <w:spacing w:after="240"/>
        <w:jc w:val="both"/>
        <w:rPr>
          <w:rFonts w:ascii="Arial" w:hAnsi="Arial" w:cs="Arial"/>
        </w:rPr>
      </w:pPr>
      <w:r w:rsidRPr="006E622A">
        <w:rPr>
          <w:rFonts w:ascii="Arial" w:hAnsi="Arial" w:cs="Arial"/>
        </w:rPr>
        <w:t>VISTA la circolare n. 29 del Ministero dell’Economia e delle Finanze RGS, del 26 luglio 2022, recante “Circolare sulle procedure finanziarie”, contenente il</w:t>
      </w:r>
      <w:r w:rsidRPr="006E622A">
        <w:t xml:space="preserve"> </w:t>
      </w:r>
      <w:r w:rsidRPr="006E622A">
        <w:rPr>
          <w:rFonts w:ascii="Arial" w:hAnsi="Arial" w:cs="Arial"/>
        </w:rPr>
        <w:t>Manuale delle procedure finanziarie degli interventi PNRR;</w:t>
      </w:r>
    </w:p>
    <w:p w14:paraId="5B8EEF6A" w14:textId="77777777" w:rsidR="00B62477" w:rsidRPr="006E622A" w:rsidRDefault="00B62477" w:rsidP="00B62477">
      <w:pPr>
        <w:spacing w:after="240"/>
        <w:jc w:val="both"/>
        <w:rPr>
          <w:rFonts w:ascii="Arial" w:hAnsi="Arial" w:cs="Arial"/>
        </w:rPr>
      </w:pPr>
      <w:r w:rsidRPr="006E622A">
        <w:rPr>
          <w:rFonts w:ascii="Arial" w:hAnsi="Arial" w:cs="Arial"/>
        </w:rPr>
        <w:lastRenderedPageBreak/>
        <w:t>VISTA la circolare n. 30 del Ministero dell’Economia e delle Finanze RGS, del 11 agosto 2022, recante “Circolare sulle procedure di controllo e rendicontazione delle misure PNRR”;</w:t>
      </w:r>
    </w:p>
    <w:p w14:paraId="15839113" w14:textId="77777777" w:rsidR="00B62477" w:rsidRPr="006E622A" w:rsidRDefault="00B62477" w:rsidP="00B62477">
      <w:pPr>
        <w:spacing w:after="240"/>
        <w:jc w:val="both"/>
        <w:rPr>
          <w:rFonts w:ascii="Arial" w:hAnsi="Arial" w:cs="Arial"/>
        </w:rPr>
      </w:pPr>
      <w:r w:rsidRPr="006E622A">
        <w:rPr>
          <w:rFonts w:ascii="Arial" w:hAnsi="Arial" w:cs="Arial"/>
        </w:rPr>
        <w:t>VISTA la circolare n. 33 del Ministero dell’Economia e delle Finanze RGS, del 13 ottobre 2022, recante “Aggiornamento Guida operativa per il rispetto del principio di non arrecare danno significativo all’ambiente (cd. DNSH)”;</w:t>
      </w:r>
    </w:p>
    <w:p w14:paraId="73613807" w14:textId="5BA1304A" w:rsidR="00B62477" w:rsidRDefault="00B62477" w:rsidP="00B62477">
      <w:pPr>
        <w:spacing w:after="240"/>
        <w:jc w:val="both"/>
        <w:rPr>
          <w:rFonts w:ascii="Arial" w:hAnsi="Arial" w:cs="Arial"/>
        </w:rPr>
      </w:pPr>
      <w:r w:rsidRPr="006E622A">
        <w:rPr>
          <w:rFonts w:ascii="Arial" w:hAnsi="Arial" w:cs="Arial"/>
        </w:rPr>
        <w:t>VISTA la circolare n. 34 del Ministero dell’Economia e delle Finanze RGS, del 17 ottobre 2022, recante “Linee guida metodologiche per la rendicontazione degli indicatori comuni per il Piano nazionale di ripresa e resilienza”;</w:t>
      </w:r>
    </w:p>
    <w:p w14:paraId="51C67B2C" w14:textId="594B8BFF" w:rsidR="00EC261C" w:rsidRDefault="00EC261C" w:rsidP="00513D4B">
      <w:pPr>
        <w:spacing w:after="240"/>
        <w:jc w:val="both"/>
        <w:rPr>
          <w:rFonts w:ascii="Arial" w:hAnsi="Arial" w:cs="Arial"/>
        </w:rPr>
      </w:pPr>
      <w:r w:rsidRPr="00513D4B">
        <w:rPr>
          <w:rFonts w:ascii="Arial" w:hAnsi="Arial" w:cs="Arial"/>
        </w:rPr>
        <w:t>VISTA la circolare n. 1 del Ministero dell’Economia e delle Finanze RGS, del 2 gennaio 2023, recante “</w:t>
      </w:r>
      <w:r w:rsidR="00513D4B" w:rsidRPr="00513D4B">
        <w:rPr>
          <w:rFonts w:ascii="Arial" w:hAnsi="Arial" w:cs="Arial"/>
        </w:rPr>
        <w:t>Controllo preventivo di regolarità amministrativa e contabile di cui al decreto legislativo 30 giugno 2011, n. 123. Precisazioni relative anche al controllo degli atti di gestione delle risorse del Piano Nazionale di Ripresa e Resilienza”;</w:t>
      </w:r>
    </w:p>
    <w:p w14:paraId="220AB0BC" w14:textId="59FB0C29" w:rsidR="0016395C" w:rsidRDefault="0016395C" w:rsidP="0016395C">
      <w:pPr>
        <w:spacing w:after="240"/>
        <w:jc w:val="both"/>
        <w:rPr>
          <w:rFonts w:ascii="Arial" w:hAnsi="Arial" w:cs="Arial"/>
        </w:rPr>
      </w:pPr>
      <w:r w:rsidRPr="00513D4B">
        <w:rPr>
          <w:rFonts w:ascii="Arial" w:hAnsi="Arial" w:cs="Arial"/>
        </w:rPr>
        <w:t>VISTA la circolare n. 1</w:t>
      </w:r>
      <w:r>
        <w:rPr>
          <w:rFonts w:ascii="Arial" w:hAnsi="Arial" w:cs="Arial"/>
        </w:rPr>
        <w:t>0</w:t>
      </w:r>
      <w:r w:rsidRPr="00513D4B">
        <w:rPr>
          <w:rFonts w:ascii="Arial" w:hAnsi="Arial" w:cs="Arial"/>
        </w:rPr>
        <w:t xml:space="preserve"> del Ministero dell’Economia e delle Finanze RGS, del </w:t>
      </w:r>
      <w:r w:rsidR="0093610A">
        <w:rPr>
          <w:rFonts w:ascii="Arial" w:hAnsi="Arial" w:cs="Arial"/>
        </w:rPr>
        <w:t>13</w:t>
      </w:r>
      <w:r w:rsidRPr="00513D4B">
        <w:rPr>
          <w:rFonts w:ascii="Arial" w:hAnsi="Arial" w:cs="Arial"/>
        </w:rPr>
        <w:t xml:space="preserve"> </w:t>
      </w:r>
      <w:r w:rsidR="0093610A">
        <w:rPr>
          <w:rFonts w:ascii="Arial" w:hAnsi="Arial" w:cs="Arial"/>
        </w:rPr>
        <w:t>marzo</w:t>
      </w:r>
      <w:r w:rsidRPr="00513D4B">
        <w:rPr>
          <w:rFonts w:ascii="Arial" w:hAnsi="Arial" w:cs="Arial"/>
        </w:rPr>
        <w:t xml:space="preserve"> 2023, recante “</w:t>
      </w:r>
      <w:r w:rsidR="00ED65B0" w:rsidRPr="00ED65B0">
        <w:rPr>
          <w:rFonts w:ascii="Arial" w:hAnsi="Arial" w:cs="Arial"/>
        </w:rPr>
        <w:t>Interventi PNRR. Ulteriori indicazioni operative per il controllo preventivo e il controllo dei rendiconti delle Contabilità Speciali PNRR aperte presso la Tesoreria dello Stato</w:t>
      </w:r>
      <w:r w:rsidRPr="00513D4B">
        <w:rPr>
          <w:rFonts w:ascii="Arial" w:hAnsi="Arial" w:cs="Arial"/>
        </w:rPr>
        <w:t>”;</w:t>
      </w:r>
    </w:p>
    <w:p w14:paraId="38ED707C" w14:textId="7B8E3408" w:rsidR="00ED65B0" w:rsidRDefault="00ED65B0" w:rsidP="00ED65B0">
      <w:pPr>
        <w:spacing w:after="240"/>
        <w:jc w:val="both"/>
        <w:rPr>
          <w:rFonts w:ascii="Arial" w:hAnsi="Arial" w:cs="Arial"/>
        </w:rPr>
      </w:pPr>
      <w:r w:rsidRPr="00513D4B">
        <w:rPr>
          <w:rFonts w:ascii="Arial" w:hAnsi="Arial" w:cs="Arial"/>
        </w:rPr>
        <w:t>VISTA la circolare n. 1</w:t>
      </w:r>
      <w:r>
        <w:rPr>
          <w:rFonts w:ascii="Arial" w:hAnsi="Arial" w:cs="Arial"/>
        </w:rPr>
        <w:t>6</w:t>
      </w:r>
      <w:r w:rsidRPr="00513D4B">
        <w:rPr>
          <w:rFonts w:ascii="Arial" w:hAnsi="Arial" w:cs="Arial"/>
        </w:rPr>
        <w:t xml:space="preserve"> del Ministero dell’Economia e delle Finanze RGS, del </w:t>
      </w:r>
      <w:r>
        <w:rPr>
          <w:rFonts w:ascii="Arial" w:hAnsi="Arial" w:cs="Arial"/>
        </w:rPr>
        <w:t>1</w:t>
      </w:r>
      <w:r w:rsidR="000D660D">
        <w:rPr>
          <w:rFonts w:ascii="Arial" w:hAnsi="Arial" w:cs="Arial"/>
        </w:rPr>
        <w:t>4</w:t>
      </w:r>
      <w:r w:rsidRPr="00513D4B">
        <w:rPr>
          <w:rFonts w:ascii="Arial" w:hAnsi="Arial" w:cs="Arial"/>
        </w:rPr>
        <w:t xml:space="preserve"> </w:t>
      </w:r>
      <w:r w:rsidR="000D660D">
        <w:rPr>
          <w:rFonts w:ascii="Arial" w:hAnsi="Arial" w:cs="Arial"/>
        </w:rPr>
        <w:t xml:space="preserve">aprile </w:t>
      </w:r>
      <w:r w:rsidRPr="00513D4B">
        <w:rPr>
          <w:rFonts w:ascii="Arial" w:hAnsi="Arial" w:cs="Arial"/>
        </w:rPr>
        <w:t>2023, recante “</w:t>
      </w:r>
      <w:r w:rsidR="000D660D" w:rsidRPr="000D660D">
        <w:rPr>
          <w:rFonts w:ascii="Arial" w:hAnsi="Arial" w:cs="Arial"/>
        </w:rPr>
        <w:t xml:space="preserve">Integrazione delle Linee Guida per lo svolgimento delle attività di controllo e rendicontazione delle Misure PNRR di competenza delle Amministrazioni centrali e dei Soggetti Attuatori - Rilascio in esercizio sul sistema informativo </w:t>
      </w:r>
      <w:proofErr w:type="spellStart"/>
      <w:r w:rsidR="000D660D" w:rsidRPr="000D660D">
        <w:rPr>
          <w:rFonts w:ascii="Arial" w:hAnsi="Arial" w:cs="Arial"/>
        </w:rPr>
        <w:t>ReGiS</w:t>
      </w:r>
      <w:proofErr w:type="spellEnd"/>
      <w:r w:rsidR="000D660D" w:rsidRPr="000D660D">
        <w:rPr>
          <w:rFonts w:ascii="Arial" w:hAnsi="Arial" w:cs="Arial"/>
        </w:rPr>
        <w:t xml:space="preserve"> delle Attestazioni dei controlli svolti su procedure e spese e del collegamento alla banca dati ORBIS nonché alle piattaforme antifrode ARACHNE e PIAF-IT</w:t>
      </w:r>
      <w:r w:rsidRPr="00513D4B">
        <w:rPr>
          <w:rFonts w:ascii="Arial" w:hAnsi="Arial" w:cs="Arial"/>
        </w:rPr>
        <w:t>”;</w:t>
      </w:r>
    </w:p>
    <w:p w14:paraId="058D08EC" w14:textId="28E9AE4F" w:rsidR="00ED65B0" w:rsidRDefault="00ED65B0" w:rsidP="00ED65B0">
      <w:pPr>
        <w:spacing w:after="240"/>
        <w:jc w:val="both"/>
        <w:rPr>
          <w:rFonts w:ascii="Arial" w:hAnsi="Arial" w:cs="Arial"/>
        </w:rPr>
      </w:pPr>
      <w:r w:rsidRPr="00513D4B">
        <w:rPr>
          <w:rFonts w:ascii="Arial" w:hAnsi="Arial" w:cs="Arial"/>
        </w:rPr>
        <w:t>VISTA la circolare n. 1</w:t>
      </w:r>
      <w:r>
        <w:rPr>
          <w:rFonts w:ascii="Arial" w:hAnsi="Arial" w:cs="Arial"/>
        </w:rPr>
        <w:t>9</w:t>
      </w:r>
      <w:r w:rsidRPr="00513D4B">
        <w:rPr>
          <w:rFonts w:ascii="Arial" w:hAnsi="Arial" w:cs="Arial"/>
        </w:rPr>
        <w:t xml:space="preserve"> del Ministero dell’Economia e delle Finanze RGS, del </w:t>
      </w:r>
      <w:r w:rsidR="000D660D">
        <w:rPr>
          <w:rFonts w:ascii="Arial" w:hAnsi="Arial" w:cs="Arial"/>
        </w:rPr>
        <w:t>27 aprile</w:t>
      </w:r>
      <w:r w:rsidRPr="00513D4B">
        <w:rPr>
          <w:rFonts w:ascii="Arial" w:hAnsi="Arial" w:cs="Arial"/>
        </w:rPr>
        <w:t xml:space="preserve"> 2023, recante “</w:t>
      </w:r>
      <w:r w:rsidR="000E525D" w:rsidRPr="000E525D">
        <w:rPr>
          <w:rFonts w:ascii="Arial" w:hAnsi="Arial" w:cs="Arial"/>
        </w:rPr>
        <w:t xml:space="preserve">Utilizzo del sistema </w:t>
      </w:r>
      <w:proofErr w:type="spellStart"/>
      <w:r w:rsidR="000E525D" w:rsidRPr="000E525D">
        <w:rPr>
          <w:rFonts w:ascii="Arial" w:hAnsi="Arial" w:cs="Arial"/>
        </w:rPr>
        <w:t>ReGiS</w:t>
      </w:r>
      <w:proofErr w:type="spellEnd"/>
      <w:r w:rsidR="000E525D" w:rsidRPr="000E525D">
        <w:rPr>
          <w:rFonts w:ascii="Arial" w:hAnsi="Arial" w:cs="Arial"/>
        </w:rPr>
        <w:t xml:space="preserve"> per gli adempimenti PNRR e modalità di attivazione delle anticipazioni di cassa a valere sulle contabilità di tesoreria NGEU</w:t>
      </w:r>
      <w:r w:rsidRPr="00513D4B">
        <w:rPr>
          <w:rFonts w:ascii="Arial" w:hAnsi="Arial" w:cs="Arial"/>
        </w:rPr>
        <w:t>”;</w:t>
      </w:r>
    </w:p>
    <w:p w14:paraId="17803BD9" w14:textId="77777777" w:rsidR="0016395C" w:rsidRDefault="0016395C" w:rsidP="00513D4B">
      <w:pPr>
        <w:spacing w:after="240"/>
        <w:jc w:val="both"/>
        <w:rPr>
          <w:rFonts w:ascii="Arial" w:hAnsi="Arial" w:cs="Arial"/>
        </w:rPr>
      </w:pPr>
    </w:p>
    <w:p w14:paraId="42195F03" w14:textId="77777777" w:rsidR="0016395C" w:rsidRPr="00513D4B" w:rsidRDefault="0016395C" w:rsidP="00513D4B">
      <w:pPr>
        <w:spacing w:after="240"/>
        <w:jc w:val="both"/>
        <w:rPr>
          <w:rFonts w:ascii="Arial" w:hAnsi="Arial" w:cs="Arial"/>
        </w:rPr>
      </w:pPr>
    </w:p>
    <w:p w14:paraId="73AF523C" w14:textId="54849C98" w:rsidR="00B62477" w:rsidRPr="00CE41C1" w:rsidRDefault="00B62477" w:rsidP="00B62477">
      <w:pPr>
        <w:spacing w:after="240"/>
        <w:jc w:val="both"/>
        <w:rPr>
          <w:rFonts w:ascii="Arial" w:hAnsi="Arial" w:cs="Arial"/>
          <w:b/>
          <w:bCs/>
        </w:rPr>
      </w:pPr>
      <w:r w:rsidRPr="00CE41C1">
        <w:rPr>
          <w:rFonts w:ascii="Arial" w:hAnsi="Arial" w:cs="Arial"/>
          <w:b/>
          <w:bCs/>
        </w:rPr>
        <w:t>[inserire le successive circolari che verranno emanate]</w:t>
      </w:r>
    </w:p>
    <w:p w14:paraId="7E78542C" w14:textId="3F480E7E" w:rsidR="00493884" w:rsidRPr="008E1D85" w:rsidRDefault="00493884" w:rsidP="00B62477">
      <w:pPr>
        <w:spacing w:after="240"/>
        <w:jc w:val="both"/>
        <w:rPr>
          <w:rFonts w:ascii="Arial" w:hAnsi="Arial" w:cs="Arial"/>
          <w:b/>
          <w:bCs/>
        </w:rPr>
      </w:pPr>
      <w:r w:rsidRPr="00C80868">
        <w:rPr>
          <w:rFonts w:ascii="Arial" w:hAnsi="Arial" w:cs="Arial"/>
        </w:rPr>
        <w:lastRenderedPageBreak/>
        <w:t xml:space="preserve">VISTO il decreto direttoriale dell’Unità di Missione per l’attuazione degli interventi del Piano nazionale di ripresa e resilienza del Ministero delle Imprese e del Made in </w:t>
      </w:r>
      <w:proofErr w:type="spellStart"/>
      <w:r w:rsidRPr="00C80868">
        <w:rPr>
          <w:rFonts w:ascii="Arial" w:hAnsi="Arial" w:cs="Arial"/>
        </w:rPr>
        <w:t>Italy</w:t>
      </w:r>
      <w:proofErr w:type="spellEnd"/>
      <w:r w:rsidRPr="00C80868">
        <w:rPr>
          <w:rFonts w:ascii="Arial" w:hAnsi="Arial" w:cs="Arial"/>
        </w:rPr>
        <w:t xml:space="preserve"> del 20 ottobre 2022 che approva il “Sistema di Gestione e Controllo”</w:t>
      </w:r>
      <w:r w:rsidR="004F320F">
        <w:rPr>
          <w:rFonts w:ascii="Arial" w:hAnsi="Arial" w:cs="Arial"/>
        </w:rPr>
        <w:t xml:space="preserve"> e </w:t>
      </w:r>
      <w:proofErr w:type="spellStart"/>
      <w:r w:rsidR="004F320F">
        <w:rPr>
          <w:rFonts w:ascii="Arial" w:hAnsi="Arial" w:cs="Arial"/>
        </w:rPr>
        <w:t>ss.mm.ii</w:t>
      </w:r>
      <w:proofErr w:type="spellEnd"/>
      <w:r w:rsidR="004F320F">
        <w:rPr>
          <w:rFonts w:ascii="Arial" w:hAnsi="Arial" w:cs="Arial"/>
        </w:rPr>
        <w:t>.</w:t>
      </w:r>
      <w:r w:rsidR="008E1D85" w:rsidRPr="00C80868">
        <w:t xml:space="preserve"> </w:t>
      </w:r>
      <w:r w:rsidR="008E1D85" w:rsidRPr="00C80868">
        <w:rPr>
          <w:rFonts w:ascii="Arial" w:hAnsi="Arial" w:cs="Arial"/>
          <w:b/>
          <w:bCs/>
        </w:rPr>
        <w:t>[da utilizzare nei decreti direttoriali]</w:t>
      </w:r>
    </w:p>
    <w:p w14:paraId="27F2C501" w14:textId="77777777" w:rsidR="00B62477" w:rsidRPr="006E622A" w:rsidRDefault="00B62477" w:rsidP="00451713">
      <w:pPr>
        <w:spacing w:after="240"/>
        <w:jc w:val="both"/>
        <w:rPr>
          <w:rFonts w:ascii="Arial" w:hAnsi="Arial" w:cs="Arial"/>
        </w:rPr>
      </w:pPr>
      <w:r w:rsidRPr="006E622A">
        <w:rPr>
          <w:rFonts w:ascii="Arial" w:hAnsi="Arial" w:cs="Arial"/>
        </w:rPr>
        <w:t>CONSIDERATO che le amministrazioni titolari degli interventi adottano ogni iniziativa necessaria ad assicurare l’efficace e corretto utilizzo delle risorse finanziarie assegnate e la tempestiva realizzazione degli interventi secondo il cronoprogramma previsto dal PNRR, ivi compreso il puntuale raggiungimento dei relativi traguardi e obiettivi;</w:t>
      </w:r>
    </w:p>
    <w:p w14:paraId="277C7EEC" w14:textId="6B3EE86C" w:rsidR="008260B9" w:rsidRDefault="00B62477" w:rsidP="00451713">
      <w:pPr>
        <w:jc w:val="both"/>
      </w:pPr>
      <w:r w:rsidRPr="006E622A">
        <w:rPr>
          <w:rFonts w:ascii="Arial" w:hAnsi="Arial" w:cs="Arial"/>
        </w:rPr>
        <w:t xml:space="preserve">Visto l’esito positivo dell’esame congiunto, così come previsto dalla Circolare n.21 del Ministero dell’Economia e delle Finanze </w:t>
      </w:r>
      <w:r w:rsidR="00451713" w:rsidRPr="006E622A">
        <w:rPr>
          <w:rFonts w:ascii="Arial" w:hAnsi="Arial" w:cs="Arial"/>
        </w:rPr>
        <w:t xml:space="preserve">RGS </w:t>
      </w:r>
      <w:r w:rsidRPr="006E622A">
        <w:rPr>
          <w:rFonts w:ascii="Arial" w:hAnsi="Arial" w:cs="Arial"/>
        </w:rPr>
        <w:t>del 14 ottobre 2021, che ha accertato la coerenza del presente provvedimento con i requisisti del PNRR;</w:t>
      </w:r>
    </w:p>
    <w:sectPr w:rsidR="008260B9" w:rsidSect="00EB7CBB">
      <w:headerReference w:type="default" r:id="rId7"/>
      <w:footerReference w:type="default" r:id="rId8"/>
      <w:pgSz w:w="11906" w:h="16838"/>
      <w:pgMar w:top="450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E506" w14:textId="77777777" w:rsidR="00F66571" w:rsidRDefault="00F66571" w:rsidP="00EB7CBB">
      <w:r>
        <w:separator/>
      </w:r>
    </w:p>
  </w:endnote>
  <w:endnote w:type="continuationSeparator" w:id="0">
    <w:p w14:paraId="56B0E05B" w14:textId="77777777" w:rsidR="00F66571" w:rsidRDefault="00F66571" w:rsidP="00EB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ce Script MT">
    <w:altName w:val="Kunstler Scrip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5F6DE" w14:textId="77777777" w:rsidR="00550712" w:rsidRDefault="00550712" w:rsidP="00550712">
    <w:pPr>
      <w:pStyle w:val="Pidipagina"/>
      <w:jc w:val="right"/>
    </w:pPr>
  </w:p>
  <w:p w14:paraId="4B4C8687" w14:textId="77777777" w:rsidR="00550712" w:rsidRPr="006A592A" w:rsidRDefault="00550712" w:rsidP="00550712">
    <w:pPr>
      <w:pStyle w:val="Pidipagina"/>
      <w:spacing w:line="120" w:lineRule="atLeast"/>
      <w:jc w:val="center"/>
      <w:rPr>
        <w:rFonts w:ascii="Arial" w:hAnsi="Arial" w:cs="Arial"/>
        <w:color w:val="2F5496"/>
        <w:sz w:val="16"/>
        <w:szCs w:val="16"/>
      </w:rPr>
    </w:pPr>
    <w:r w:rsidRPr="006A592A">
      <w:rPr>
        <w:rFonts w:ascii="Arial" w:hAnsi="Arial" w:cs="Arial"/>
        <w:color w:val="2F5496"/>
        <w:sz w:val="16"/>
        <w:szCs w:val="16"/>
      </w:rPr>
      <w:t>Via Molise, 2 – 00187 Roma</w:t>
    </w:r>
  </w:p>
  <w:p w14:paraId="77E9015D" w14:textId="77777777" w:rsidR="00550712" w:rsidRPr="006A592A" w:rsidRDefault="00550712" w:rsidP="00550712">
    <w:pPr>
      <w:pStyle w:val="Pidipagina"/>
      <w:tabs>
        <w:tab w:val="left" w:pos="6435"/>
      </w:tabs>
      <w:spacing w:line="120" w:lineRule="atLeast"/>
      <w:jc w:val="center"/>
      <w:rPr>
        <w:rFonts w:ascii="Arial" w:hAnsi="Arial" w:cs="Arial"/>
        <w:color w:val="2F5496"/>
        <w:sz w:val="16"/>
        <w:szCs w:val="16"/>
      </w:rPr>
    </w:pPr>
    <w:proofErr w:type="spellStart"/>
    <w:r w:rsidRPr="006A592A">
      <w:rPr>
        <w:rFonts w:ascii="Arial" w:hAnsi="Arial" w:cs="Arial"/>
        <w:color w:val="2F5496"/>
        <w:sz w:val="16"/>
        <w:szCs w:val="16"/>
      </w:rPr>
      <w:t>Pec</w:t>
    </w:r>
    <w:proofErr w:type="spellEnd"/>
    <w:r w:rsidRPr="006A592A">
      <w:rPr>
        <w:rFonts w:ascii="Arial" w:hAnsi="Arial" w:cs="Arial"/>
        <w:color w:val="2F5496"/>
        <w:sz w:val="16"/>
        <w:szCs w:val="16"/>
      </w:rPr>
      <w:t xml:space="preserve"> pnrr@pec.mise.gov.it</w:t>
    </w:r>
  </w:p>
  <w:p w14:paraId="40E64D36" w14:textId="77777777" w:rsidR="00550712" w:rsidRPr="006A592A" w:rsidRDefault="00550712" w:rsidP="00550712">
    <w:pPr>
      <w:pStyle w:val="Pidipagina"/>
      <w:tabs>
        <w:tab w:val="left" w:pos="6435"/>
      </w:tabs>
      <w:spacing w:line="120" w:lineRule="atLeast"/>
      <w:jc w:val="center"/>
      <w:rPr>
        <w:rFonts w:ascii="Arial" w:hAnsi="Arial" w:cs="Arial"/>
        <w:color w:val="2F5496"/>
        <w:sz w:val="16"/>
        <w:szCs w:val="16"/>
      </w:rPr>
    </w:pPr>
    <w:r w:rsidRPr="006A592A">
      <w:rPr>
        <w:rFonts w:ascii="Arial" w:hAnsi="Arial" w:cs="Arial"/>
        <w:color w:val="2F5496"/>
        <w:sz w:val="16"/>
        <w:szCs w:val="16"/>
      </w:rPr>
      <w:t>www.mise.gov.it</w:t>
    </w:r>
  </w:p>
  <w:p w14:paraId="5E2CF758" w14:textId="77777777" w:rsidR="00EB7CBB" w:rsidRDefault="00EB7C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7BE2B" w14:textId="77777777" w:rsidR="00F66571" w:rsidRDefault="00F66571" w:rsidP="00EB7CBB">
      <w:r>
        <w:separator/>
      </w:r>
    </w:p>
  </w:footnote>
  <w:footnote w:type="continuationSeparator" w:id="0">
    <w:p w14:paraId="1119192A" w14:textId="77777777" w:rsidR="00F66571" w:rsidRDefault="00F66571" w:rsidP="00EB7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5D066" w14:textId="77777777" w:rsidR="00EB7CBB" w:rsidRDefault="00EB7CBB" w:rsidP="00EB7CBB">
    <w:pPr>
      <w:pStyle w:val="Intestazione"/>
    </w:pPr>
    <w:r w:rsidRPr="00566546">
      <w:rPr>
        <w:noProof/>
      </w:rPr>
      <w:drawing>
        <wp:anchor distT="0" distB="0" distL="114300" distR="114300" simplePos="0" relativeHeight="251659264" behindDoc="0" locked="0" layoutInCell="1" allowOverlap="1" wp14:anchorId="5CA28A25" wp14:editId="629A9823">
          <wp:simplePos x="0" y="0"/>
          <wp:positionH relativeFrom="column">
            <wp:posOffset>0</wp:posOffset>
          </wp:positionH>
          <wp:positionV relativeFrom="paragraph">
            <wp:posOffset>-635</wp:posOffset>
          </wp:positionV>
          <wp:extent cx="1962150" cy="552450"/>
          <wp:effectExtent l="0" t="0" r="0" b="0"/>
          <wp:wrapNone/>
          <wp:docPr id="9" name="Immagine 9">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ptab w:relativeTo="margin" w:alignment="center" w:leader="none"/>
    </w:r>
    <w:r>
      <w:t xml:space="preserve">                                                                                                                                               </w:t>
    </w:r>
    <w:r w:rsidRPr="00642B98">
      <w:rPr>
        <w:rFonts w:ascii="Palace Script MT" w:hAnsi="Palace Script MT" w:cs="Arial"/>
        <w:noProof/>
        <w:sz w:val="100"/>
        <w:szCs w:val="100"/>
      </w:rPr>
      <w:drawing>
        <wp:inline distT="0" distB="0" distL="0" distR="0" wp14:anchorId="5FCB69BA" wp14:editId="19A3FDCF">
          <wp:extent cx="635000" cy="669925"/>
          <wp:effectExtent l="0" t="0" r="0" b="0"/>
          <wp:docPr id="10" name="Immagine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000" cy="669925"/>
                  </a:xfrm>
                  <a:prstGeom prst="rect">
                    <a:avLst/>
                  </a:prstGeom>
                  <a:noFill/>
                  <a:ln>
                    <a:noFill/>
                  </a:ln>
                </pic:spPr>
              </pic:pic>
            </a:graphicData>
          </a:graphic>
        </wp:inline>
      </w:drawing>
    </w:r>
  </w:p>
  <w:p w14:paraId="4198C733" w14:textId="77777777" w:rsidR="00EB7CBB" w:rsidRDefault="00EB7CBB" w:rsidP="00EB7CBB">
    <w:pPr>
      <w:pStyle w:val="Intestazione"/>
    </w:pPr>
  </w:p>
  <w:p w14:paraId="1D1EC9F8" w14:textId="77777777" w:rsidR="00EB7CBB" w:rsidRDefault="00EB7CBB" w:rsidP="00EB7CBB">
    <w:pPr>
      <w:pStyle w:val="Intestazione"/>
    </w:pPr>
  </w:p>
  <w:p w14:paraId="4136EBC9" w14:textId="77777777" w:rsidR="003D22D7" w:rsidRDefault="00EB7CBB" w:rsidP="00EB7CBB">
    <w:pPr>
      <w:pStyle w:val="Intestazione"/>
      <w:jc w:val="center"/>
      <w:rPr>
        <w:rFonts w:ascii="Palace Script MT" w:hAnsi="Palace Script MT"/>
        <w:color w:val="2764AE"/>
        <w:sz w:val="80"/>
        <w:szCs w:val="80"/>
      </w:rPr>
    </w:pP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r>
      <w:rPr>
        <w:rFonts w:ascii="Palace Script MT" w:hAnsi="Palace Script MT"/>
        <w:color w:val="2764AE"/>
        <w:sz w:val="80"/>
        <w:szCs w:val="80"/>
      </w:rPr>
      <w:t xml:space="preserve"> </w:t>
    </w:r>
  </w:p>
  <w:p w14:paraId="73005CCD" w14:textId="77777777" w:rsidR="00EB7CBB" w:rsidRDefault="00EB7CBB" w:rsidP="00EB7CBB">
    <w:pPr>
      <w:pStyle w:val="Intestazione"/>
      <w:jc w:val="center"/>
      <w:rPr>
        <w:rFonts w:ascii="Arial" w:hAnsi="Arial" w:cs="Arial"/>
        <w:smallCaps/>
        <w:color w:val="2764AE"/>
      </w:rPr>
    </w:pPr>
    <w:r>
      <w:rPr>
        <w:rFonts w:ascii="Arial" w:hAnsi="Arial" w:cs="Arial"/>
        <w:smallCaps/>
        <w:color w:val="2764AE"/>
      </w:rPr>
      <w:t>u</w:t>
    </w:r>
    <w:r w:rsidRPr="00DE791E">
      <w:rPr>
        <w:rFonts w:ascii="Arial" w:hAnsi="Arial" w:cs="Arial"/>
        <w:smallCaps/>
        <w:color w:val="2764AE"/>
      </w:rPr>
      <w:t xml:space="preserve">nità di </w:t>
    </w:r>
    <w:r>
      <w:rPr>
        <w:rFonts w:ascii="Arial" w:hAnsi="Arial" w:cs="Arial"/>
        <w:smallCaps/>
        <w:color w:val="2764AE"/>
      </w:rPr>
      <w:t>m</w:t>
    </w:r>
    <w:r w:rsidRPr="00DE791E">
      <w:rPr>
        <w:rFonts w:ascii="Arial" w:hAnsi="Arial" w:cs="Arial"/>
        <w:smallCaps/>
        <w:color w:val="2764AE"/>
      </w:rPr>
      <w:t xml:space="preserve">issione per l’attuazione degli interventi del </w:t>
    </w:r>
    <w:r>
      <w:rPr>
        <w:rFonts w:ascii="Arial" w:hAnsi="Arial" w:cs="Arial"/>
        <w:smallCaps/>
        <w:color w:val="2764AE"/>
      </w:rPr>
      <w:t>PNRR</w:t>
    </w:r>
  </w:p>
  <w:p w14:paraId="6FF51C0E" w14:textId="63270F74" w:rsidR="00EB7CBB" w:rsidRDefault="00EB7CBB" w:rsidP="00EB7CBB">
    <w:pPr>
      <w:pStyle w:val="Intestazione"/>
    </w:pPr>
    <w:r>
      <w:rPr>
        <w:rFonts w:ascii="Arial" w:hAnsi="Arial" w:cs="Arial"/>
        <w:smallCaps/>
        <w:color w:val="2764AE"/>
      </w:rPr>
      <w:tab/>
    </w:r>
    <w:r>
      <w:ptab w:relativeTo="margin" w:alignment="right" w:leader="none"/>
    </w:r>
  </w:p>
  <w:p w14:paraId="29424165" w14:textId="77777777" w:rsidR="00EB7CBB" w:rsidRPr="00EB7CBB" w:rsidRDefault="00EB7CBB" w:rsidP="00EB7C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4C24"/>
    <w:multiLevelType w:val="hybridMultilevel"/>
    <w:tmpl w:val="5BBE236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8993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477"/>
    <w:rsid w:val="000716CC"/>
    <w:rsid w:val="000D660D"/>
    <w:rsid w:val="000E525D"/>
    <w:rsid w:val="0016395C"/>
    <w:rsid w:val="00167033"/>
    <w:rsid w:val="00180424"/>
    <w:rsid w:val="00216EFC"/>
    <w:rsid w:val="00217F9C"/>
    <w:rsid w:val="00257375"/>
    <w:rsid w:val="00283DA6"/>
    <w:rsid w:val="002B693B"/>
    <w:rsid w:val="002E356E"/>
    <w:rsid w:val="002F1028"/>
    <w:rsid w:val="00326E86"/>
    <w:rsid w:val="00363D90"/>
    <w:rsid w:val="003854DB"/>
    <w:rsid w:val="003D22D7"/>
    <w:rsid w:val="00451713"/>
    <w:rsid w:val="00493884"/>
    <w:rsid w:val="004A09B2"/>
    <w:rsid w:val="004F320F"/>
    <w:rsid w:val="00513D4B"/>
    <w:rsid w:val="00550712"/>
    <w:rsid w:val="00564749"/>
    <w:rsid w:val="005772AD"/>
    <w:rsid w:val="00653748"/>
    <w:rsid w:val="00664C83"/>
    <w:rsid w:val="006A0BB5"/>
    <w:rsid w:val="006E622A"/>
    <w:rsid w:val="007B2E9F"/>
    <w:rsid w:val="007B4581"/>
    <w:rsid w:val="007C3C38"/>
    <w:rsid w:val="008022A0"/>
    <w:rsid w:val="008260B9"/>
    <w:rsid w:val="008809F7"/>
    <w:rsid w:val="008E1D85"/>
    <w:rsid w:val="0093610A"/>
    <w:rsid w:val="00961844"/>
    <w:rsid w:val="009E7DF6"/>
    <w:rsid w:val="009F25B9"/>
    <w:rsid w:val="00A0090D"/>
    <w:rsid w:val="00A15A0B"/>
    <w:rsid w:val="00A51CDF"/>
    <w:rsid w:val="00AF0F9D"/>
    <w:rsid w:val="00B548DA"/>
    <w:rsid w:val="00B62477"/>
    <w:rsid w:val="00BB3E0B"/>
    <w:rsid w:val="00BD52F2"/>
    <w:rsid w:val="00C80868"/>
    <w:rsid w:val="00CE41C1"/>
    <w:rsid w:val="00D13044"/>
    <w:rsid w:val="00D62BDA"/>
    <w:rsid w:val="00E24A11"/>
    <w:rsid w:val="00EB7CBB"/>
    <w:rsid w:val="00EC261C"/>
    <w:rsid w:val="00ED65B0"/>
    <w:rsid w:val="00EE2D48"/>
    <w:rsid w:val="00F22B00"/>
    <w:rsid w:val="00F66571"/>
    <w:rsid w:val="00F72369"/>
    <w:rsid w:val="00FA26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80280"/>
  <w15:chartTrackingRefBased/>
  <w15:docId w15:val="{75329392-B73A-47F6-B85D-CAA3E0FC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2477"/>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link w:val="Titolo3Carattere"/>
    <w:uiPriority w:val="9"/>
    <w:qFormat/>
    <w:rsid w:val="00513D4B"/>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62477"/>
    <w:pPr>
      <w:ind w:left="720"/>
      <w:contextualSpacing/>
    </w:pPr>
  </w:style>
  <w:style w:type="paragraph" w:styleId="Intestazione">
    <w:name w:val="header"/>
    <w:basedOn w:val="Normale"/>
    <w:link w:val="IntestazioneCarattere"/>
    <w:unhideWhenUsed/>
    <w:rsid w:val="00EB7CBB"/>
    <w:pPr>
      <w:tabs>
        <w:tab w:val="center" w:pos="4819"/>
        <w:tab w:val="right" w:pos="9638"/>
      </w:tabs>
    </w:pPr>
  </w:style>
  <w:style w:type="character" w:customStyle="1" w:styleId="IntestazioneCarattere">
    <w:name w:val="Intestazione Carattere"/>
    <w:basedOn w:val="Carpredefinitoparagrafo"/>
    <w:link w:val="Intestazione"/>
    <w:rsid w:val="00EB7CB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EB7CBB"/>
    <w:pPr>
      <w:tabs>
        <w:tab w:val="center" w:pos="4819"/>
        <w:tab w:val="right" w:pos="9638"/>
      </w:tabs>
    </w:pPr>
  </w:style>
  <w:style w:type="character" w:customStyle="1" w:styleId="PidipaginaCarattere">
    <w:name w:val="Piè di pagina Carattere"/>
    <w:basedOn w:val="Carpredefinitoparagrafo"/>
    <w:link w:val="Pidipagina"/>
    <w:uiPriority w:val="99"/>
    <w:rsid w:val="00EB7CBB"/>
    <w:rPr>
      <w:rFonts w:ascii="Times New Roman" w:eastAsia="Times New Roman" w:hAnsi="Times New Roman" w:cs="Times New Roman"/>
      <w:sz w:val="24"/>
      <w:szCs w:val="24"/>
      <w:lang w:eastAsia="it-IT"/>
    </w:rPr>
  </w:style>
  <w:style w:type="paragraph" w:styleId="Revisione">
    <w:name w:val="Revision"/>
    <w:hidden/>
    <w:uiPriority w:val="99"/>
    <w:semiHidden/>
    <w:rsid w:val="00BD52F2"/>
    <w:pPr>
      <w:spacing w:after="0"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513D4B"/>
    <w:rPr>
      <w:rFonts w:ascii="Times New Roman" w:eastAsia="Times New Roman" w:hAnsi="Times New Roman" w:cs="Times New Roman"/>
      <w:b/>
      <w:bCs/>
      <w:sz w:val="27"/>
      <w:szCs w:val="27"/>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763075">
      <w:bodyDiv w:val="1"/>
      <w:marLeft w:val="0"/>
      <w:marRight w:val="0"/>
      <w:marTop w:val="0"/>
      <w:marBottom w:val="0"/>
      <w:divBdr>
        <w:top w:val="none" w:sz="0" w:space="0" w:color="auto"/>
        <w:left w:val="none" w:sz="0" w:space="0" w:color="auto"/>
        <w:bottom w:val="none" w:sz="0" w:space="0" w:color="auto"/>
        <w:right w:val="none" w:sz="0" w:space="0" w:color="auto"/>
      </w:divBdr>
    </w:div>
    <w:div w:id="52987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7</Pages>
  <Words>2227</Words>
  <Characters>12695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MiSE</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Carpineta</dc:creator>
  <cp:keywords/>
  <dc:description/>
  <cp:lastModifiedBy>Davide Idone</cp:lastModifiedBy>
  <cp:revision>23</cp:revision>
  <dcterms:created xsi:type="dcterms:W3CDTF">2022-12-29T12:13:00Z</dcterms:created>
  <dcterms:modified xsi:type="dcterms:W3CDTF">2023-05-25T10:36:00Z</dcterms:modified>
</cp:coreProperties>
</file>