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732" w:rsidRPr="00DC6732" w:rsidRDefault="00DC6732" w:rsidP="00DC6732">
      <w:pPr>
        <w:pBdr>
          <w:top w:val="nil"/>
          <w:left w:val="nil"/>
          <w:bottom w:val="nil"/>
          <w:right w:val="nil"/>
          <w:between w:val="nil"/>
        </w:pBdr>
        <w:shd w:val="clear" w:color="auto" w:fill="FFFFFF"/>
        <w:spacing w:after="188" w:line="240" w:lineRule="auto"/>
        <w:rPr>
          <w:rFonts w:ascii="Arial" w:eastAsia="Times New Roman" w:hAnsi="Arial" w:cs="Arial"/>
          <w:b/>
          <w:color w:val="002060"/>
          <w:sz w:val="32"/>
          <w:szCs w:val="32"/>
        </w:rPr>
      </w:pPr>
      <w:r w:rsidRPr="00DC6732">
        <w:rPr>
          <w:rFonts w:ascii="Arial" w:eastAsia="Times New Roman" w:hAnsi="Arial" w:cs="Arial"/>
          <w:b/>
          <w:color w:val="002060"/>
          <w:sz w:val="32"/>
          <w:szCs w:val="32"/>
        </w:rPr>
        <w:t>Consultazione pubblica concernente lo schema di Decreto legislativo di correzione del Decreto legislativo 8 novembre 2021 n</w:t>
      </w:r>
      <w:bookmarkStart w:id="0" w:name="_GoBack"/>
      <w:bookmarkEnd w:id="0"/>
      <w:r w:rsidRPr="00DC6732">
        <w:rPr>
          <w:rFonts w:ascii="Arial" w:eastAsia="Times New Roman" w:hAnsi="Arial" w:cs="Arial"/>
          <w:b/>
          <w:color w:val="002060"/>
          <w:sz w:val="32"/>
          <w:szCs w:val="32"/>
        </w:rPr>
        <w:t>. 208.</w:t>
      </w:r>
    </w:p>
    <w:p w:rsidR="00DC6732" w:rsidRPr="00DC6732" w:rsidRDefault="00DC6732" w:rsidP="00DC6732">
      <w:pPr>
        <w:pBdr>
          <w:top w:val="nil"/>
          <w:left w:val="nil"/>
          <w:bottom w:val="nil"/>
          <w:right w:val="nil"/>
          <w:between w:val="nil"/>
        </w:pBdr>
        <w:spacing w:after="0"/>
        <w:jc w:val="both"/>
        <w:rPr>
          <w:rFonts w:ascii="Arial" w:eastAsia="Times New Roman" w:hAnsi="Arial" w:cs="Arial"/>
          <w:b/>
          <w:color w:val="002060"/>
          <w:sz w:val="32"/>
          <w:szCs w:val="32"/>
        </w:rPr>
      </w:pPr>
      <w:r w:rsidRPr="00DC6732">
        <w:rPr>
          <w:rFonts w:ascii="Arial" w:eastAsia="Times New Roman" w:hAnsi="Arial" w:cs="Arial"/>
          <w:b/>
          <w:color w:val="002060"/>
          <w:sz w:val="32"/>
          <w:szCs w:val="32"/>
        </w:rPr>
        <w:t>Questionario</w:t>
      </w:r>
    </w:p>
    <w:p w:rsidR="00DC6732" w:rsidRDefault="00DC6732" w:rsidP="00DC6732">
      <w:pPr>
        <w:pBdr>
          <w:top w:val="nil"/>
          <w:left w:val="nil"/>
          <w:bottom w:val="nil"/>
          <w:right w:val="nil"/>
          <w:between w:val="nil"/>
        </w:pBdr>
        <w:spacing w:after="0"/>
        <w:ind w:left="-11"/>
        <w:jc w:val="both"/>
        <w:rPr>
          <w:rFonts w:ascii="Arial" w:eastAsia="Times New Roman" w:hAnsi="Arial" w:cs="Arial"/>
          <w:szCs w:val="24"/>
        </w:rPr>
      </w:pPr>
    </w:p>
    <w:p w:rsidR="00DC6732" w:rsidRDefault="00DC6732" w:rsidP="00DC6732">
      <w:pPr>
        <w:pBdr>
          <w:top w:val="nil"/>
          <w:left w:val="nil"/>
          <w:bottom w:val="nil"/>
          <w:right w:val="nil"/>
          <w:between w:val="nil"/>
        </w:pBdr>
        <w:spacing w:after="0"/>
        <w:ind w:left="-11"/>
        <w:jc w:val="both"/>
        <w:rPr>
          <w:rFonts w:ascii="Arial" w:eastAsia="Times New Roman" w:hAnsi="Arial" w:cs="Arial"/>
          <w:szCs w:val="24"/>
        </w:rPr>
      </w:pPr>
    </w:p>
    <w:p w:rsidR="00DC6732" w:rsidRPr="00DC6732" w:rsidRDefault="00DC6732" w:rsidP="00DC6732">
      <w:pPr>
        <w:numPr>
          <w:ilvl w:val="2"/>
          <w:numId w:val="1"/>
        </w:numPr>
        <w:pBdr>
          <w:top w:val="nil"/>
          <w:left w:val="nil"/>
          <w:bottom w:val="nil"/>
          <w:right w:val="nil"/>
          <w:between w:val="nil"/>
        </w:pBdr>
        <w:spacing w:after="0" w:line="240" w:lineRule="auto"/>
        <w:ind w:left="426" w:hanging="437"/>
        <w:jc w:val="both"/>
        <w:rPr>
          <w:rFonts w:ascii="Arial" w:eastAsia="Times New Roman" w:hAnsi="Arial" w:cs="Arial"/>
          <w:szCs w:val="24"/>
        </w:rPr>
      </w:pPr>
      <w:r w:rsidRPr="00DC6732">
        <w:rPr>
          <w:rFonts w:ascii="Arial" w:eastAsia="Times New Roman" w:hAnsi="Arial" w:cs="Arial"/>
          <w:szCs w:val="24"/>
        </w:rPr>
        <w:t>Il rispondente ha osservazioni da esporre in merito agli aspetti generali trattati e alle nuove definizioni proposte?</w:t>
      </w:r>
    </w:p>
    <w:p w:rsidR="00DC6732" w:rsidRPr="00DC6732" w:rsidRDefault="00DC6732" w:rsidP="00DC6732">
      <w:pPr>
        <w:pBdr>
          <w:top w:val="nil"/>
          <w:left w:val="nil"/>
          <w:bottom w:val="nil"/>
          <w:right w:val="nil"/>
          <w:between w:val="nil"/>
        </w:pBdr>
        <w:spacing w:after="0" w:line="240" w:lineRule="auto"/>
        <w:ind w:left="426" w:hanging="437"/>
        <w:jc w:val="both"/>
        <w:rPr>
          <w:rFonts w:ascii="Arial" w:eastAsia="Times New Roman" w:hAnsi="Arial" w:cs="Arial"/>
          <w:szCs w:val="24"/>
        </w:rPr>
      </w:pPr>
    </w:p>
    <w:p w:rsidR="00DC6732" w:rsidRPr="00DC6732" w:rsidRDefault="00DC6732" w:rsidP="00DC6732">
      <w:pPr>
        <w:numPr>
          <w:ilvl w:val="2"/>
          <w:numId w:val="1"/>
        </w:numPr>
        <w:pBdr>
          <w:top w:val="nil"/>
          <w:left w:val="nil"/>
          <w:bottom w:val="nil"/>
          <w:right w:val="nil"/>
          <w:between w:val="nil"/>
        </w:pBdr>
        <w:spacing w:after="0" w:line="240" w:lineRule="auto"/>
        <w:ind w:left="426" w:hanging="437"/>
        <w:jc w:val="both"/>
        <w:rPr>
          <w:rFonts w:ascii="Arial" w:eastAsia="Times New Roman" w:hAnsi="Arial" w:cs="Arial"/>
          <w:szCs w:val="24"/>
        </w:rPr>
      </w:pPr>
      <w:r w:rsidRPr="00DC6732">
        <w:rPr>
          <w:rFonts w:ascii="Arial" w:eastAsia="Times New Roman" w:hAnsi="Arial" w:cs="Arial"/>
          <w:szCs w:val="24"/>
        </w:rPr>
        <w:t>Il rispondente ritiene che le misure atte ad assicurare un’adeguata tutela della dignità umana e dei minori in relazione ai contenuti audiovisivi che possono nuocere al loro sviluppo fisico, mentale o morale siano idonee?</w:t>
      </w:r>
    </w:p>
    <w:p w:rsidR="00DC6732" w:rsidRPr="00DC6732" w:rsidRDefault="00DC6732" w:rsidP="00DC6732">
      <w:pPr>
        <w:pStyle w:val="Paragrafoelenco"/>
        <w:spacing w:after="0" w:line="240" w:lineRule="auto"/>
        <w:ind w:left="426" w:hanging="437"/>
        <w:rPr>
          <w:rFonts w:ascii="Arial" w:eastAsia="Times New Roman" w:hAnsi="Arial" w:cs="Arial"/>
          <w:szCs w:val="24"/>
        </w:rPr>
      </w:pPr>
    </w:p>
    <w:p w:rsidR="00DC6732" w:rsidRPr="00DC6732" w:rsidRDefault="00DC6732" w:rsidP="00DC6732">
      <w:pPr>
        <w:numPr>
          <w:ilvl w:val="2"/>
          <w:numId w:val="1"/>
        </w:numPr>
        <w:pBdr>
          <w:top w:val="nil"/>
          <w:left w:val="nil"/>
          <w:bottom w:val="nil"/>
          <w:right w:val="nil"/>
          <w:between w:val="nil"/>
        </w:pBdr>
        <w:spacing w:after="0" w:line="240" w:lineRule="auto"/>
        <w:ind w:left="426" w:hanging="437"/>
        <w:jc w:val="both"/>
        <w:rPr>
          <w:rFonts w:ascii="Arial" w:eastAsia="Times New Roman" w:hAnsi="Arial" w:cs="Arial"/>
          <w:szCs w:val="24"/>
        </w:rPr>
      </w:pPr>
      <w:r w:rsidRPr="00DC6732">
        <w:rPr>
          <w:rFonts w:ascii="Arial" w:eastAsia="Times New Roman" w:hAnsi="Arial" w:cs="Arial"/>
          <w:szCs w:val="24"/>
        </w:rPr>
        <w:t>Il rispondente ritiene che le misure relative alla tutela dei minori dai contenuti, anche pubblicitari, non appropriati che accompagnano programmi per bambini dove è inclusa pubblicità relativa a prodotti alimentari o bevande, anche alcoliche, che contengono sostanze nutritive e sostanze con un effetto nutrizionale o fisiologico, la cui assunzione eccessiva nella dieta generale non è raccomandata, siano sufficienti?</w:t>
      </w:r>
    </w:p>
    <w:p w:rsidR="00DC6732" w:rsidRPr="00DC6732" w:rsidRDefault="00DC6732" w:rsidP="00DC6732">
      <w:pPr>
        <w:pStyle w:val="Paragrafoelenco"/>
        <w:spacing w:after="0" w:line="240" w:lineRule="auto"/>
        <w:ind w:left="426" w:hanging="437"/>
        <w:rPr>
          <w:rFonts w:ascii="Arial" w:eastAsia="Times New Roman" w:hAnsi="Arial" w:cs="Arial"/>
          <w:szCs w:val="24"/>
        </w:rPr>
      </w:pPr>
    </w:p>
    <w:p w:rsidR="00DC6732" w:rsidRPr="00DC6732" w:rsidRDefault="00DC6732" w:rsidP="00DC6732">
      <w:pPr>
        <w:numPr>
          <w:ilvl w:val="2"/>
          <w:numId w:val="1"/>
        </w:numPr>
        <w:pBdr>
          <w:top w:val="nil"/>
          <w:left w:val="nil"/>
          <w:bottom w:val="nil"/>
          <w:right w:val="nil"/>
          <w:between w:val="nil"/>
        </w:pBdr>
        <w:spacing w:after="0" w:line="240" w:lineRule="auto"/>
        <w:ind w:left="426" w:hanging="437"/>
        <w:jc w:val="both"/>
        <w:rPr>
          <w:rFonts w:ascii="Arial" w:eastAsia="Times New Roman" w:hAnsi="Arial" w:cs="Arial"/>
          <w:szCs w:val="24"/>
        </w:rPr>
      </w:pPr>
      <w:r w:rsidRPr="00DC6732">
        <w:rPr>
          <w:rFonts w:ascii="Arial" w:eastAsia="Times New Roman" w:hAnsi="Arial" w:cs="Arial"/>
          <w:szCs w:val="24"/>
        </w:rPr>
        <w:t>Il rispondente ritiene che le specifiche misure relative ai servizi di media audiovisivi, lineari e non lineari siano idonee a tutelare i consumatori?</w:t>
      </w:r>
    </w:p>
    <w:p w:rsidR="00DC6732" w:rsidRPr="00DC6732" w:rsidRDefault="00DC6732" w:rsidP="00DC6732">
      <w:pPr>
        <w:pBdr>
          <w:top w:val="nil"/>
          <w:left w:val="nil"/>
          <w:bottom w:val="nil"/>
          <w:right w:val="nil"/>
          <w:between w:val="nil"/>
        </w:pBdr>
        <w:spacing w:after="0" w:line="240" w:lineRule="auto"/>
        <w:ind w:left="426" w:hanging="437"/>
        <w:jc w:val="both"/>
        <w:rPr>
          <w:rFonts w:ascii="Arial" w:eastAsia="Times New Roman" w:hAnsi="Arial" w:cs="Arial"/>
          <w:szCs w:val="24"/>
        </w:rPr>
      </w:pPr>
    </w:p>
    <w:p w:rsidR="00DC6732" w:rsidRPr="00DC6732" w:rsidRDefault="00DC6732" w:rsidP="00DC6732">
      <w:pPr>
        <w:numPr>
          <w:ilvl w:val="2"/>
          <w:numId w:val="1"/>
        </w:numPr>
        <w:pBdr>
          <w:top w:val="nil"/>
          <w:left w:val="nil"/>
          <w:bottom w:val="nil"/>
          <w:right w:val="nil"/>
          <w:between w:val="nil"/>
        </w:pBdr>
        <w:spacing w:after="0" w:line="240" w:lineRule="auto"/>
        <w:ind w:left="426" w:hanging="437"/>
        <w:jc w:val="both"/>
        <w:rPr>
          <w:rFonts w:ascii="Arial" w:eastAsia="Times New Roman" w:hAnsi="Arial" w:cs="Arial"/>
          <w:szCs w:val="24"/>
        </w:rPr>
      </w:pPr>
      <w:r w:rsidRPr="00DC6732">
        <w:rPr>
          <w:rFonts w:ascii="Arial" w:eastAsia="Times New Roman" w:hAnsi="Arial" w:cs="Arial"/>
          <w:szCs w:val="24"/>
        </w:rPr>
        <w:t>Il rispondente ha suggerimenti o proposte circa la creazione di un ambiente favorevole alla promozione e mantenimento delle corrette dinamiche concorrenziali attraverso una regolamentazione volta a facilitare i co-investimenti?</w:t>
      </w:r>
    </w:p>
    <w:p w:rsidR="00DC6732" w:rsidRPr="00DC6732" w:rsidRDefault="00DC6732" w:rsidP="00DC6732">
      <w:pPr>
        <w:pBdr>
          <w:top w:val="nil"/>
          <w:left w:val="nil"/>
          <w:bottom w:val="nil"/>
          <w:right w:val="nil"/>
          <w:between w:val="nil"/>
        </w:pBdr>
        <w:spacing w:after="0" w:line="240" w:lineRule="auto"/>
        <w:ind w:left="426" w:hanging="437"/>
        <w:jc w:val="both"/>
        <w:rPr>
          <w:rFonts w:ascii="Arial" w:eastAsia="Times New Roman" w:hAnsi="Arial" w:cs="Arial"/>
          <w:szCs w:val="24"/>
        </w:rPr>
      </w:pPr>
    </w:p>
    <w:p w:rsidR="00DC6732" w:rsidRPr="00DC6732" w:rsidRDefault="00DC6732" w:rsidP="00DC6732">
      <w:pPr>
        <w:numPr>
          <w:ilvl w:val="2"/>
          <w:numId w:val="1"/>
        </w:numPr>
        <w:pBdr>
          <w:top w:val="nil"/>
          <w:left w:val="nil"/>
          <w:bottom w:val="nil"/>
          <w:right w:val="nil"/>
          <w:between w:val="nil"/>
        </w:pBdr>
        <w:spacing w:after="0" w:line="240" w:lineRule="auto"/>
        <w:ind w:left="426" w:hanging="437"/>
        <w:jc w:val="both"/>
        <w:rPr>
          <w:rFonts w:ascii="Arial" w:eastAsia="Times New Roman" w:hAnsi="Arial" w:cs="Arial"/>
          <w:szCs w:val="24"/>
        </w:rPr>
      </w:pPr>
      <w:r w:rsidRPr="00DC6732">
        <w:rPr>
          <w:rFonts w:ascii="Arial" w:eastAsia="Times New Roman" w:hAnsi="Arial" w:cs="Arial"/>
          <w:szCs w:val="24"/>
        </w:rPr>
        <w:t>Il rispondente ritiene che siano idonee le misure per la promozione delle opere europee, anche nei servizi di media audiovisivi a richiesta, nonché le specifiche misure per la promozione della trasparenza degli assetti proprietari dei fornitori dei servizi?</w:t>
      </w:r>
    </w:p>
    <w:p w:rsidR="00DC6732" w:rsidRPr="00DC6732" w:rsidRDefault="00DC6732" w:rsidP="00DC6732">
      <w:pPr>
        <w:pBdr>
          <w:top w:val="nil"/>
          <w:left w:val="nil"/>
          <w:bottom w:val="nil"/>
          <w:right w:val="nil"/>
          <w:between w:val="nil"/>
        </w:pBdr>
        <w:spacing w:after="0" w:line="240" w:lineRule="auto"/>
        <w:ind w:left="426" w:hanging="437"/>
        <w:jc w:val="both"/>
        <w:rPr>
          <w:rFonts w:ascii="Arial" w:eastAsia="Times New Roman" w:hAnsi="Arial" w:cs="Arial"/>
          <w:szCs w:val="24"/>
        </w:rPr>
      </w:pPr>
    </w:p>
    <w:p w:rsidR="00DC6732" w:rsidRDefault="00DC6732" w:rsidP="00DC6732">
      <w:pPr>
        <w:numPr>
          <w:ilvl w:val="2"/>
          <w:numId w:val="1"/>
        </w:numPr>
        <w:pBdr>
          <w:top w:val="nil"/>
          <w:left w:val="nil"/>
          <w:bottom w:val="nil"/>
          <w:right w:val="nil"/>
          <w:between w:val="nil"/>
        </w:pBdr>
        <w:spacing w:after="0" w:line="240" w:lineRule="auto"/>
        <w:ind w:left="426" w:hanging="437"/>
        <w:jc w:val="both"/>
        <w:rPr>
          <w:rFonts w:ascii="Arial" w:eastAsia="Times New Roman" w:hAnsi="Arial" w:cs="Arial"/>
          <w:szCs w:val="24"/>
        </w:rPr>
      </w:pPr>
      <w:r w:rsidRPr="00DC6732">
        <w:rPr>
          <w:rFonts w:ascii="Arial" w:eastAsia="Times New Roman" w:hAnsi="Arial" w:cs="Arial"/>
          <w:szCs w:val="24"/>
        </w:rPr>
        <w:t>Il rispondente ha informazioni od osservazioni da esporre in merito alle misure per l’adeguamento delle prescrizioni per le comunicazioni commerciali da applicare anche ai servizi di piattaforma per la condivisione di video e per la revisione dei limiti di affollamento pubblicitario?</w:t>
      </w:r>
    </w:p>
    <w:p w:rsidR="00DC6732" w:rsidRPr="00DC6732" w:rsidRDefault="00DC6732" w:rsidP="00DC6732">
      <w:pPr>
        <w:pBdr>
          <w:top w:val="nil"/>
          <w:left w:val="nil"/>
          <w:bottom w:val="nil"/>
          <w:right w:val="nil"/>
          <w:between w:val="nil"/>
        </w:pBdr>
        <w:spacing w:after="0" w:line="240" w:lineRule="auto"/>
        <w:ind w:left="426"/>
        <w:jc w:val="both"/>
        <w:rPr>
          <w:rFonts w:ascii="Arial" w:eastAsia="Times New Roman" w:hAnsi="Arial" w:cs="Arial"/>
          <w:szCs w:val="24"/>
        </w:rPr>
      </w:pPr>
    </w:p>
    <w:p w:rsidR="00DC6732" w:rsidRDefault="00DC6732" w:rsidP="00DC6732">
      <w:pPr>
        <w:numPr>
          <w:ilvl w:val="2"/>
          <w:numId w:val="1"/>
        </w:numPr>
        <w:pBdr>
          <w:top w:val="nil"/>
          <w:left w:val="nil"/>
          <w:bottom w:val="nil"/>
          <w:right w:val="nil"/>
          <w:between w:val="nil"/>
        </w:pBdr>
        <w:spacing w:after="0" w:line="240" w:lineRule="auto"/>
        <w:ind w:left="426" w:hanging="437"/>
        <w:jc w:val="both"/>
        <w:rPr>
          <w:rFonts w:ascii="Arial" w:eastAsia="Times New Roman" w:hAnsi="Arial" w:cs="Arial"/>
          <w:szCs w:val="24"/>
        </w:rPr>
      </w:pPr>
      <w:r w:rsidRPr="00DC6732">
        <w:rPr>
          <w:rFonts w:ascii="Arial" w:eastAsia="Times New Roman" w:hAnsi="Arial" w:cs="Arial"/>
          <w:szCs w:val="24"/>
        </w:rPr>
        <w:t>Il rispondente ha ulteriori informazioni od osservazioni da esporre in merito alle misure che riguardano la revisione dei limiti di affollamento pubblicitario secondo principi di flessibilità, proporzionalità e concorrenzialità?</w:t>
      </w:r>
    </w:p>
    <w:p w:rsidR="00DC6732" w:rsidRPr="00DC6732" w:rsidRDefault="00DC6732" w:rsidP="00DC6732">
      <w:pPr>
        <w:pBdr>
          <w:top w:val="nil"/>
          <w:left w:val="nil"/>
          <w:bottom w:val="nil"/>
          <w:right w:val="nil"/>
          <w:between w:val="nil"/>
        </w:pBdr>
        <w:spacing w:after="0" w:line="240" w:lineRule="auto"/>
        <w:jc w:val="both"/>
        <w:rPr>
          <w:rFonts w:ascii="Arial" w:eastAsia="Times New Roman" w:hAnsi="Arial" w:cs="Arial"/>
          <w:szCs w:val="24"/>
        </w:rPr>
      </w:pPr>
    </w:p>
    <w:p w:rsidR="00DC6732" w:rsidRPr="00DC6732" w:rsidRDefault="00DC6732" w:rsidP="00DC6732">
      <w:pPr>
        <w:numPr>
          <w:ilvl w:val="2"/>
          <w:numId w:val="1"/>
        </w:numPr>
        <w:spacing w:after="0" w:line="240" w:lineRule="auto"/>
        <w:ind w:left="426" w:hanging="437"/>
        <w:jc w:val="both"/>
        <w:rPr>
          <w:rFonts w:ascii="Arial" w:hAnsi="Arial" w:cs="Arial"/>
          <w:szCs w:val="24"/>
        </w:rPr>
      </w:pPr>
      <w:r w:rsidRPr="00DC6732">
        <w:rPr>
          <w:rFonts w:ascii="Arial" w:eastAsia="Times New Roman" w:hAnsi="Arial" w:cs="Arial"/>
          <w:szCs w:val="24"/>
        </w:rPr>
        <w:t>Il rispondente ha osservazioni circa la promozione dell’alfabetizzazione digitale da parte dei fornitori di servizi di media e dei fornitori di piattaforme di condivisione dei video?</w:t>
      </w:r>
    </w:p>
    <w:p w:rsidR="00DC6732" w:rsidRPr="00DC6732" w:rsidRDefault="00DC6732" w:rsidP="00DC6732">
      <w:pPr>
        <w:spacing w:after="0" w:line="240" w:lineRule="auto"/>
        <w:jc w:val="both"/>
        <w:rPr>
          <w:rFonts w:ascii="Arial" w:hAnsi="Arial" w:cs="Arial"/>
          <w:szCs w:val="24"/>
        </w:rPr>
      </w:pPr>
    </w:p>
    <w:p w:rsidR="00DC6732" w:rsidRPr="00DC6732" w:rsidRDefault="00DC6732" w:rsidP="00DC6732">
      <w:pPr>
        <w:numPr>
          <w:ilvl w:val="2"/>
          <w:numId w:val="1"/>
        </w:numPr>
        <w:spacing w:after="0" w:line="240" w:lineRule="auto"/>
        <w:ind w:left="426" w:hanging="437"/>
        <w:jc w:val="both"/>
        <w:rPr>
          <w:rFonts w:ascii="Arial" w:hAnsi="Arial" w:cs="Arial"/>
          <w:szCs w:val="24"/>
        </w:rPr>
      </w:pPr>
      <w:r w:rsidRPr="00DC6732">
        <w:rPr>
          <w:rFonts w:ascii="Arial" w:eastAsia="Times New Roman" w:hAnsi="Arial" w:cs="Arial"/>
          <w:szCs w:val="24"/>
        </w:rPr>
        <w:t xml:space="preserve">Il rispondente ha ulteriori informazioni od osservazioni da esporre sulle </w:t>
      </w:r>
      <w:r w:rsidRPr="00DC6732">
        <w:rPr>
          <w:rFonts w:ascii="Arial" w:eastAsia="Times New Roman" w:hAnsi="Arial" w:cs="Arial"/>
          <w:bCs/>
          <w:szCs w:val="24"/>
        </w:rPr>
        <w:t>norme a tutela del pluralismo delle fonti di informazione, costituzionalmente garantito, tenendo conto delle mutate condizioni di mercato con la presenza sempre più rilevante delle diverse piattaforme multinazionali</w:t>
      </w:r>
      <w:r w:rsidRPr="00DC6732">
        <w:rPr>
          <w:rFonts w:ascii="Arial" w:eastAsia="Times New Roman" w:hAnsi="Arial" w:cs="Arial"/>
          <w:szCs w:val="24"/>
        </w:rPr>
        <w:t>?</w:t>
      </w:r>
    </w:p>
    <w:p w:rsidR="00DC6732" w:rsidRPr="00DC6732" w:rsidRDefault="00DC6732" w:rsidP="00DC6732">
      <w:pPr>
        <w:spacing w:after="0" w:line="240" w:lineRule="auto"/>
        <w:ind w:left="426" w:hanging="437"/>
        <w:jc w:val="both"/>
        <w:rPr>
          <w:rFonts w:ascii="Arial" w:eastAsia="Times New Roman" w:hAnsi="Arial" w:cs="Arial"/>
          <w:szCs w:val="24"/>
        </w:rPr>
      </w:pPr>
    </w:p>
    <w:p w:rsidR="00DC6732" w:rsidRPr="00DC6732" w:rsidRDefault="00DC6732" w:rsidP="00DC6732">
      <w:pPr>
        <w:numPr>
          <w:ilvl w:val="2"/>
          <w:numId w:val="1"/>
        </w:numPr>
        <w:spacing w:after="0" w:line="240" w:lineRule="auto"/>
        <w:ind w:left="426" w:hanging="437"/>
        <w:jc w:val="both"/>
        <w:rPr>
          <w:rFonts w:ascii="Arial" w:hAnsi="Arial" w:cs="Arial"/>
          <w:sz w:val="24"/>
          <w:szCs w:val="24"/>
        </w:rPr>
      </w:pPr>
      <w:r w:rsidRPr="00DC6732">
        <w:rPr>
          <w:rFonts w:ascii="Arial" w:eastAsia="Times New Roman" w:hAnsi="Arial" w:cs="Arial"/>
          <w:szCs w:val="24"/>
        </w:rPr>
        <w:t>Il rispondente ha osservazioni da esporre in merito al regime di contribuzione per i diritti d’uso per il servizio radiofonico DAB+?</w:t>
      </w:r>
    </w:p>
    <w:p w:rsidR="00DC6732" w:rsidRPr="00DC6732" w:rsidRDefault="00DC6732" w:rsidP="00DC6732">
      <w:pPr>
        <w:spacing w:after="0" w:line="240" w:lineRule="auto"/>
        <w:jc w:val="both"/>
        <w:rPr>
          <w:rFonts w:ascii="Arial" w:hAnsi="Arial" w:cs="Arial"/>
          <w:sz w:val="24"/>
          <w:szCs w:val="24"/>
        </w:rPr>
      </w:pPr>
    </w:p>
    <w:p w:rsidR="00DC6732" w:rsidRPr="00DC6732" w:rsidRDefault="00DC6732" w:rsidP="00DC6732">
      <w:pPr>
        <w:numPr>
          <w:ilvl w:val="2"/>
          <w:numId w:val="1"/>
        </w:numPr>
        <w:spacing w:after="0" w:line="240" w:lineRule="auto"/>
        <w:ind w:left="426" w:hanging="437"/>
        <w:jc w:val="both"/>
        <w:rPr>
          <w:rFonts w:ascii="Arial" w:hAnsi="Arial" w:cs="Arial"/>
          <w:sz w:val="24"/>
          <w:szCs w:val="24"/>
        </w:rPr>
      </w:pPr>
      <w:r w:rsidRPr="00DC6732">
        <w:rPr>
          <w:rFonts w:ascii="Arial" w:eastAsia="Times New Roman" w:hAnsi="Arial" w:cs="Arial"/>
          <w:szCs w:val="24"/>
        </w:rPr>
        <w:t xml:space="preserve">Il rispondente ha osservazioni da esporre in merito alle </w:t>
      </w:r>
      <w:proofErr w:type="spellStart"/>
      <w:r w:rsidRPr="00DC6732">
        <w:rPr>
          <w:rFonts w:ascii="Arial" w:eastAsia="Times New Roman" w:hAnsi="Arial" w:cs="Arial"/>
          <w:szCs w:val="24"/>
        </w:rPr>
        <w:t>comptenze</w:t>
      </w:r>
      <w:proofErr w:type="spellEnd"/>
      <w:r w:rsidRPr="00DC6732">
        <w:rPr>
          <w:rFonts w:ascii="Arial" w:eastAsia="Times New Roman" w:hAnsi="Arial" w:cs="Arial"/>
          <w:szCs w:val="24"/>
        </w:rPr>
        <w:t xml:space="preserve"> esercite da AGCOM e MIMIT in merito alla Radio FM, Radio </w:t>
      </w:r>
      <w:proofErr w:type="spellStart"/>
      <w:r w:rsidRPr="00DC6732">
        <w:rPr>
          <w:rFonts w:ascii="Arial" w:eastAsia="Times New Roman" w:hAnsi="Arial" w:cs="Arial"/>
          <w:szCs w:val="24"/>
        </w:rPr>
        <w:t>Dab</w:t>
      </w:r>
      <w:proofErr w:type="spellEnd"/>
      <w:r w:rsidRPr="00DC6732">
        <w:rPr>
          <w:rFonts w:ascii="Arial" w:eastAsia="Times New Roman" w:hAnsi="Arial" w:cs="Arial"/>
          <w:szCs w:val="24"/>
        </w:rPr>
        <w:t>, Radio Onde Medie e Radio Web?</w:t>
      </w:r>
    </w:p>
    <w:p w:rsidR="00DC6732" w:rsidRDefault="00DC6732" w:rsidP="00DC6732">
      <w:pPr>
        <w:spacing w:after="0" w:line="240" w:lineRule="auto"/>
        <w:jc w:val="both"/>
        <w:rPr>
          <w:rFonts w:ascii="Arial" w:hAnsi="Arial" w:cs="Arial"/>
          <w:sz w:val="24"/>
          <w:szCs w:val="24"/>
        </w:rPr>
      </w:pPr>
    </w:p>
    <w:p w:rsidR="0020325B" w:rsidRPr="00DC6732" w:rsidRDefault="00DC6732" w:rsidP="00DC6732">
      <w:pPr>
        <w:numPr>
          <w:ilvl w:val="2"/>
          <w:numId w:val="1"/>
        </w:numPr>
        <w:spacing w:after="0" w:line="240" w:lineRule="auto"/>
        <w:ind w:left="426" w:hanging="437"/>
        <w:jc w:val="both"/>
        <w:rPr>
          <w:rFonts w:ascii="Arial" w:hAnsi="Arial" w:cs="Arial"/>
          <w:sz w:val="24"/>
          <w:szCs w:val="24"/>
        </w:rPr>
      </w:pPr>
      <w:r w:rsidRPr="00DC6732">
        <w:rPr>
          <w:rFonts w:ascii="Arial" w:eastAsia="Times New Roman" w:hAnsi="Arial" w:cs="Arial"/>
          <w:szCs w:val="24"/>
        </w:rPr>
        <w:t>Il rispondente ha ulteriori informazioni od osservazioni da esporre in merito all’oggetto della presente consultazione pubblica?</w:t>
      </w:r>
    </w:p>
    <w:sectPr w:rsidR="0020325B" w:rsidRPr="00DC6732" w:rsidSect="00DC6732">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2DF" w:rsidRDefault="005752DF" w:rsidP="00DC6732">
      <w:pPr>
        <w:spacing w:after="0" w:line="240" w:lineRule="auto"/>
      </w:pPr>
      <w:r>
        <w:separator/>
      </w:r>
    </w:p>
  </w:endnote>
  <w:endnote w:type="continuationSeparator" w:id="0">
    <w:p w:rsidR="005752DF" w:rsidRDefault="005752DF" w:rsidP="00DC6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2DF" w:rsidRDefault="005752DF" w:rsidP="00DC6732">
      <w:pPr>
        <w:spacing w:after="0" w:line="240" w:lineRule="auto"/>
      </w:pPr>
      <w:r>
        <w:separator/>
      </w:r>
    </w:p>
  </w:footnote>
  <w:footnote w:type="continuationSeparator" w:id="0">
    <w:p w:rsidR="005752DF" w:rsidRDefault="005752DF" w:rsidP="00DC6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40F1B"/>
    <w:multiLevelType w:val="multilevel"/>
    <w:tmpl w:val="181E8C9A"/>
    <w:lvl w:ilvl="0">
      <w:start w:val="2"/>
      <w:numFmt w:val="decimal"/>
      <w:lvlText w:val="%1."/>
      <w:lvlJc w:val="left"/>
      <w:pPr>
        <w:ind w:left="560" w:hanging="560"/>
      </w:pPr>
    </w:lvl>
    <w:lvl w:ilvl="1">
      <w:start w:val="1"/>
      <w:numFmt w:val="decimal"/>
      <w:lvlText w:val="%1.%2."/>
      <w:lvlJc w:val="left"/>
      <w:pPr>
        <w:ind w:left="720" w:hanging="720"/>
      </w:pPr>
    </w:lvl>
    <w:lvl w:ilvl="2">
      <w:start w:val="1"/>
      <w:numFmt w:val="decimal"/>
      <w:lvlText w:val="%3."/>
      <w:lvlJc w:val="left"/>
      <w:pPr>
        <w:ind w:left="720" w:hanging="720"/>
      </w:pPr>
      <w:rPr>
        <w:rFonts w:ascii="Arial" w:eastAsia="Times New Roman" w:hAnsi="Arial" w:cs="Arial" w:hint="default"/>
        <w:sz w:val="18"/>
        <w:szCs w:val="1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32"/>
    <w:rsid w:val="0020325B"/>
    <w:rsid w:val="005752DF"/>
    <w:rsid w:val="00DC67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B075"/>
  <w15:chartTrackingRefBased/>
  <w15:docId w15:val="{3C339ADC-CFB6-4043-AFCA-B996B0D0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6732"/>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ARGOMENTO,Titolo Doc"/>
    <w:basedOn w:val="Normale"/>
    <w:link w:val="ParagrafoelencoCarattere"/>
    <w:uiPriority w:val="34"/>
    <w:qFormat/>
    <w:rsid w:val="00DC6732"/>
    <w:pPr>
      <w:ind w:left="720"/>
      <w:contextualSpacing/>
    </w:pPr>
  </w:style>
  <w:style w:type="character" w:customStyle="1" w:styleId="ParagrafoelencoCarattere">
    <w:name w:val="Paragrafo elenco Carattere"/>
    <w:aliases w:val="ARGOMENTO Carattere,Titolo Doc Carattere"/>
    <w:link w:val="Paragrafoelenco"/>
    <w:uiPriority w:val="34"/>
    <w:locked/>
    <w:rsid w:val="00DC6732"/>
    <w:rPr>
      <w:rFonts w:ascii="Calibri" w:eastAsia="Calibri" w:hAnsi="Calibri" w:cs="Calibri"/>
      <w:lang w:eastAsia="it-IT"/>
    </w:rPr>
  </w:style>
  <w:style w:type="paragraph" w:styleId="Intestazione">
    <w:name w:val="header"/>
    <w:basedOn w:val="Normale"/>
    <w:link w:val="IntestazioneCarattere"/>
    <w:uiPriority w:val="99"/>
    <w:unhideWhenUsed/>
    <w:rsid w:val="00DC67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6732"/>
    <w:rPr>
      <w:rFonts w:ascii="Calibri" w:eastAsia="Calibri" w:hAnsi="Calibri" w:cs="Calibri"/>
      <w:lang w:eastAsia="it-IT"/>
    </w:rPr>
  </w:style>
  <w:style w:type="paragraph" w:styleId="Pidipagina">
    <w:name w:val="footer"/>
    <w:basedOn w:val="Normale"/>
    <w:link w:val="PidipaginaCarattere"/>
    <w:uiPriority w:val="99"/>
    <w:unhideWhenUsed/>
    <w:rsid w:val="00DC67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6732"/>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2595</Characters>
  <Application>Microsoft Office Word</Application>
  <DocSecurity>0</DocSecurity>
  <Lines>89</Lines>
  <Paragraphs>34</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Cauli</dc:creator>
  <cp:keywords/>
  <dc:description/>
  <cp:lastModifiedBy>Paola Cauli</cp:lastModifiedBy>
  <cp:revision>1</cp:revision>
  <dcterms:created xsi:type="dcterms:W3CDTF">2023-06-08T14:54:00Z</dcterms:created>
  <dcterms:modified xsi:type="dcterms:W3CDTF">2023-06-08T14:59:00Z</dcterms:modified>
</cp:coreProperties>
</file>