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8" w:rsidRDefault="002A2898" w:rsidP="004634E3">
      <w:pPr>
        <w:jc w:val="center"/>
        <w:rPr>
          <w:rFonts w:ascii="Arial" w:hAnsi="Arial" w:cs="Arial"/>
          <w:b/>
          <w:bCs/>
          <w:noProof/>
          <w:color w:val="FFCC00"/>
          <w:lang w:val="en-GB" w:eastAsia="en-GB"/>
        </w:rPr>
      </w:pPr>
    </w:p>
    <w:p w:rsidR="002A2898" w:rsidRDefault="002A2898" w:rsidP="004634E3">
      <w:pPr>
        <w:jc w:val="center"/>
        <w:rPr>
          <w:rFonts w:ascii="Arial" w:hAnsi="Arial" w:cs="Arial"/>
          <w:b/>
          <w:bCs/>
          <w:noProof/>
          <w:color w:val="FFCC00"/>
          <w:lang w:val="en-GB" w:eastAsia="en-GB"/>
        </w:rPr>
      </w:pPr>
    </w:p>
    <w:p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:rsidR="002A2898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 xml:space="preserve">PREMIO EUROPEO </w:t>
      </w:r>
    </w:p>
    <w:p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>PER LA PROMOZIONE D’IMPRESA</w:t>
      </w:r>
    </w:p>
    <w:p w:rsidR="002A2898" w:rsidRPr="007778FE" w:rsidRDefault="003F01D4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>
        <w:rPr>
          <w:rFonts w:ascii="Verdana" w:hAnsi="Verdana" w:cs="Verdana"/>
          <w:b/>
          <w:bCs/>
          <w:sz w:val="32"/>
          <w:szCs w:val="32"/>
          <w:lang w:val="it-IT"/>
        </w:rPr>
        <w:t>20</w:t>
      </w:r>
      <w:r w:rsidR="0071719E">
        <w:rPr>
          <w:rFonts w:ascii="Verdana" w:hAnsi="Verdana" w:cs="Verdana"/>
          <w:b/>
          <w:bCs/>
          <w:sz w:val="32"/>
          <w:szCs w:val="32"/>
          <w:lang w:val="it-IT"/>
        </w:rPr>
        <w:t>20</w:t>
      </w:r>
    </w:p>
    <w:p w:rsidR="002A2898" w:rsidRPr="007778FE" w:rsidRDefault="002A2898" w:rsidP="004634E3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</w:p>
    <w:p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  <w:r w:rsidRPr="007778FE">
        <w:rPr>
          <w:rFonts w:ascii="Verdana" w:hAnsi="Verdana" w:cs="Verdana"/>
          <w:b/>
          <w:bCs/>
          <w:sz w:val="36"/>
          <w:szCs w:val="36"/>
          <w:lang w:val="en-GB"/>
        </w:rPr>
        <w:t>MANUALE OPERATIVO</w:t>
      </w:r>
    </w:p>
    <w:p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</w:p>
    <w:p w:rsidR="002A2898" w:rsidRDefault="002A2898" w:rsidP="000F749E">
      <w:pPr>
        <w:rPr>
          <w:rFonts w:ascii="Verdana" w:hAnsi="Verdana" w:cs="Verdana"/>
          <w:b/>
          <w:bCs/>
          <w:lang w:val="it-IT"/>
        </w:rPr>
      </w:pPr>
      <w:r>
        <w:rPr>
          <w:rFonts w:ascii="Verdana" w:hAnsi="Verdana" w:cs="Verdana"/>
          <w:b/>
          <w:bCs/>
          <w:lang w:val="it-IT"/>
        </w:rPr>
        <w:br w:type="page"/>
      </w:r>
    </w:p>
    <w:p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  <w:r w:rsidRPr="007778FE">
        <w:rPr>
          <w:rFonts w:ascii="Verdana" w:hAnsi="Verdana" w:cs="Verdana"/>
          <w:b/>
          <w:bCs/>
          <w:lang w:val="it-IT"/>
        </w:rPr>
        <w:t>INDICE</w:t>
      </w:r>
    </w:p>
    <w:p w:rsidR="002A2898" w:rsidRPr="007778FE" w:rsidRDefault="002A2898" w:rsidP="000F749E">
      <w:pPr>
        <w:rPr>
          <w:rFonts w:ascii="Verdana" w:hAnsi="Verdana" w:cs="Verdana"/>
          <w:lang w:val="it-IT"/>
        </w:rPr>
      </w:pPr>
    </w:p>
    <w:p w:rsidR="002A2898" w:rsidRPr="00F8741C" w:rsidRDefault="00893096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r w:rsidRPr="000F749E">
        <w:rPr>
          <w:rFonts w:ascii="Verdana" w:hAnsi="Verdana" w:cs="Verdana"/>
        </w:rPr>
        <w:fldChar w:fldCharType="begin"/>
      </w:r>
      <w:r w:rsidR="002A2898" w:rsidRPr="000F749E">
        <w:rPr>
          <w:rFonts w:ascii="Verdana" w:hAnsi="Verdana" w:cs="Verdana"/>
        </w:rPr>
        <w:instrText xml:space="preserve"> TOC \o "1-2" \h \z \u </w:instrText>
      </w:r>
      <w:r w:rsidRPr="000F749E">
        <w:rPr>
          <w:rFonts w:ascii="Verdana" w:hAnsi="Verdana" w:cs="Verdana"/>
        </w:rPr>
        <w:fldChar w:fldCharType="separate"/>
      </w:r>
      <w:hyperlink w:anchor="_Toc348103518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 DEFINIZIONE E MOTIVAZIONI DI FONDO</w:t>
        </w:r>
        <w:r w:rsidR="002A28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1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1.1. Un premio che riconosce l'eccellenza nella promozione dell'imprenditorialità</w:t>
        </w:r>
        <w:r w:rsidR="002A28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0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1.2. Obiettivi</w:t>
        </w:r>
        <w:r w:rsidR="002A28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1.3. L'importanza dell'imprenditorialità</w:t>
        </w:r>
        <w:r w:rsidR="002A28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2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1.4. Vantaggi per i partecipanti e i vincitori</w:t>
        </w:r>
        <w:r w:rsidR="002A2898">
          <w:rPr>
            <w:noProof/>
            <w:webHidden/>
          </w:rPr>
          <w:tab/>
        </w:r>
      </w:hyperlink>
      <w:r w:rsidR="002A2898">
        <w:rPr>
          <w:noProof/>
        </w:rPr>
        <w:t>4</w:t>
      </w:r>
    </w:p>
    <w:p w:rsidR="002A2898" w:rsidRDefault="002A2898">
      <w:pPr>
        <w:pStyle w:val="Sommario1"/>
        <w:tabs>
          <w:tab w:val="right" w:leader="dot" w:pos="8630"/>
        </w:tabs>
      </w:pPr>
    </w:p>
    <w:p w:rsidR="002A2898" w:rsidRPr="00F8741C" w:rsidRDefault="00893096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 METODOLOGIA</w:t>
        </w:r>
        <w:r w:rsidR="002A28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2.1. Pubblico target</w:t>
        </w:r>
        <w:r w:rsidR="002A28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5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2.2. Categorie</w:t>
        </w:r>
        <w:r w:rsidR="002A28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6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 Procedura di selezione in due fasi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7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2.3.1.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8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2.3.2. Livello europeo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7</w:t>
      </w:r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2.4.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8</w:t>
      </w:r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0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2.5.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9</w:t>
      </w:r>
    </w:p>
    <w:p w:rsidR="002A2898" w:rsidRPr="00F01A18" w:rsidRDefault="002A2898">
      <w:pPr>
        <w:pStyle w:val="Sommario1"/>
        <w:tabs>
          <w:tab w:val="right" w:leader="dot" w:pos="8630"/>
        </w:tabs>
        <w:rPr>
          <w:lang w:val="it-IT"/>
        </w:rPr>
      </w:pPr>
    </w:p>
    <w:p w:rsidR="002A2898" w:rsidRPr="00F8741C" w:rsidRDefault="00893096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 VALUTAZIONE E SELEZIONE A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2" w:history="1">
        <w:r w:rsidR="002A2898" w:rsidRPr="00F01A18">
          <w:rPr>
            <w:rStyle w:val="Collegamentoipertestuale"/>
            <w:rFonts w:ascii="Verdana" w:hAnsi="Verdana" w:cs="Verdana"/>
            <w:noProof/>
            <w:lang w:val="it-IT"/>
          </w:rPr>
          <w:t>3.1.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3.2. Criteri di selezione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:rsidR="002A2898" w:rsidRPr="00F8741C" w:rsidRDefault="00893096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3.3. Selezione dei candidati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:rsidR="002A2898" w:rsidRPr="00F01A18" w:rsidRDefault="00893096" w:rsidP="000F749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it-IT"/>
        </w:rPr>
      </w:pPr>
      <w:r w:rsidRPr="000F749E">
        <w:rPr>
          <w:rFonts w:ascii="Verdana" w:hAnsi="Verdana" w:cs="Verdana"/>
        </w:rPr>
        <w:fldChar w:fldCharType="end"/>
      </w:r>
    </w:p>
    <w:p w:rsidR="002A2898" w:rsidRPr="007778FE" w:rsidRDefault="002A2898" w:rsidP="000F749E">
      <w:pPr>
        <w:pStyle w:val="Titolo1"/>
        <w:rPr>
          <w:rFonts w:ascii="Verdana" w:hAnsi="Verdana" w:cs="Verdana"/>
          <w:color w:val="auto"/>
          <w:sz w:val="22"/>
          <w:szCs w:val="22"/>
          <w:lang w:val="it-IT"/>
        </w:rPr>
      </w:pPr>
      <w:r w:rsidRPr="007778FE">
        <w:rPr>
          <w:rFonts w:ascii="Verdana" w:hAnsi="Verdana" w:cs="Verdana"/>
          <w:b w:val="0"/>
          <w:bCs w:val="0"/>
          <w:color w:val="auto"/>
          <w:sz w:val="22"/>
          <w:szCs w:val="22"/>
          <w:lang w:val="it-IT"/>
        </w:rPr>
        <w:br w:type="page"/>
      </w:r>
      <w:bookmarkStart w:id="0" w:name="_Toc158800434"/>
      <w:bookmarkStart w:id="1" w:name="_Toc158800412"/>
      <w:bookmarkStart w:id="2" w:name="_Toc158800202"/>
      <w:bookmarkStart w:id="3" w:name="_Toc348103518"/>
      <w:r w:rsidRPr="007778FE">
        <w:rPr>
          <w:rFonts w:ascii="Verdana" w:hAnsi="Verdana" w:cs="Verdana"/>
          <w:color w:val="auto"/>
          <w:lang w:val="it-IT"/>
        </w:rPr>
        <w:lastRenderedPageBreak/>
        <w:t xml:space="preserve">1. DEFINIZIONE E MOTIVAZIONI </w:t>
      </w:r>
      <w:proofErr w:type="spellStart"/>
      <w:r w:rsidRPr="007778FE">
        <w:rPr>
          <w:rFonts w:ascii="Verdana" w:hAnsi="Verdana" w:cs="Verdana"/>
          <w:color w:val="auto"/>
          <w:lang w:val="it-IT"/>
        </w:rPr>
        <w:t>DI</w:t>
      </w:r>
      <w:proofErr w:type="spellEnd"/>
      <w:r w:rsidRPr="007778FE">
        <w:rPr>
          <w:rFonts w:ascii="Verdana" w:hAnsi="Verdana" w:cs="Verdana"/>
          <w:color w:val="auto"/>
          <w:lang w:val="it-IT"/>
        </w:rPr>
        <w:t xml:space="preserve"> FONDO</w:t>
      </w:r>
      <w:bookmarkEnd w:id="0"/>
      <w:bookmarkEnd w:id="1"/>
      <w:bookmarkEnd w:id="2"/>
      <w:bookmarkEnd w:id="3"/>
    </w:p>
    <w:p w:rsidR="002A2898" w:rsidRPr="007778FE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Pr="005433CF" w:rsidRDefault="002A2898" w:rsidP="005433CF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" w:name="_Toc158800435"/>
      <w:bookmarkStart w:id="5" w:name="_Toc158800413"/>
      <w:bookmarkStart w:id="6" w:name="_Toc158800203"/>
      <w:bookmarkStart w:id="7" w:name="_Toc34810351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1.1. Un premio che riconosce l'eccellenza nella promozione dell'imprenditorialità</w:t>
      </w:r>
      <w:bookmarkEnd w:id="4"/>
      <w:bookmarkEnd w:id="5"/>
      <w:bookmarkEnd w:id="6"/>
      <w:bookmarkEnd w:id="7"/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Premi europei per la promozione d’impresa, creati su iniziativa della Commissione europea, riconoscono e premiano le iniziative di assoluta eccellenza che promuovono l'imprenditorialità. I premi, inaugurati nel 2005, non rappresentano una mera competizione, ma intendono anche fare opera di sensibilizzazione in campo imprenditoriale – sia sul lato delle politiche sia su quello delle attività vere e proprie – e dare il giusto riconoscimento per i successi raggiunti.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Ogni anno vengono individuati i vincitori a livello pan-europeo, e viene data loro visibilità, al fine di ispirare e fungere da esempio per gli altri attori.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4B3FDF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  <w:lang w:val="it-IT"/>
        </w:rPr>
      </w:pPr>
      <w:r w:rsidRPr="004B3FDF">
        <w:rPr>
          <w:rFonts w:ascii="Verdana" w:hAnsi="Verdana" w:cs="Verdana"/>
          <w:sz w:val="22"/>
          <w:szCs w:val="22"/>
          <w:lang w:val="it-IT"/>
        </w:rPr>
        <w:t>L'ambito geografico della competizione abbraccia i 27 Stati membri</w:t>
      </w:r>
      <w:r>
        <w:rPr>
          <w:rStyle w:val="Rimandonotaapidipagina"/>
          <w:rFonts w:ascii="Verdana" w:hAnsi="Verdana" w:cs="Verdana"/>
          <w:sz w:val="22"/>
          <w:szCs w:val="22"/>
        </w:rPr>
        <w:footnoteReference w:id="2"/>
      </w:r>
      <w:r w:rsidRPr="004B3FDF">
        <w:rPr>
          <w:rFonts w:ascii="Verdana" w:hAnsi="Verdana" w:cs="Verdana"/>
          <w:sz w:val="22"/>
          <w:szCs w:val="22"/>
          <w:lang w:val="it-IT"/>
        </w:rPr>
        <w:t xml:space="preserve"> dell'Unione Europea e i paesi associati al programma COSME: Albania, Bosnia ed Erzegovina, Kosovo *, Montenegro, Macedonia del Nord, Serbia, Turchia, Armenia, Moldavia, Ucraina, Islanda e il Regno Unito</w:t>
      </w:r>
    </w:p>
    <w:p w:rsidR="00431286" w:rsidRPr="005433CF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8" w:name="_Toc158800436"/>
      <w:bookmarkStart w:id="9" w:name="_Toc158800414"/>
      <w:bookmarkStart w:id="10" w:name="_Toc158800204"/>
      <w:bookmarkStart w:id="11" w:name="_Toc34810352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1.2. Obiettivi</w:t>
      </w:r>
      <w:bookmarkEnd w:id="8"/>
      <w:bookmarkEnd w:id="9"/>
      <w:bookmarkEnd w:id="10"/>
      <w:bookmarkEnd w:id="11"/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Individuare e riconoscere azioni e iniziative di successo adottate per promuovere l’impresa e l’imprenditorialità.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2. 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Dare visibilità alle migliori politiche e prassi imprenditoriali e condividerle.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Sensibilizzare maggiormente l'opinione pubblica sul ruolo degli imprenditori nella società.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Incoraggiare e ispirare potenziali imprenditori. </w:t>
      </w:r>
    </w:p>
    <w:p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2" w:name="_Toc158800437"/>
      <w:bookmarkStart w:id="13" w:name="_Toc158800415"/>
      <w:bookmarkStart w:id="14" w:name="_Toc158800205"/>
      <w:bookmarkStart w:id="15" w:name="_Toc34810352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1.3. L'importanza dell'imprenditorialità</w:t>
      </w:r>
      <w:bookmarkEnd w:id="12"/>
      <w:bookmarkEnd w:id="13"/>
      <w:bookmarkEnd w:id="14"/>
      <w:bookmarkEnd w:id="15"/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politica favorevole all'imprenditorialità è implicitamente legata ai bisogni delle piccole e medie imprese (PMI), elemento vitale dell'economia europea e che annovera il 99% delle imprese europee. Il settore delle PMI contribuisce all'innovazione, favorisce la concorrenza, introduce flessibilità sul mercato del lavoro e, fatto ancor più importante, crea posti di lavoro.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 xml:space="preserve">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 xml:space="preserve">DG Mercato interno, industria, imprenditoria e </w:t>
      </w:r>
      <w:proofErr w:type="spellStart"/>
      <w:r w:rsidR="00B84A49" w:rsidRPr="00B84A49">
        <w:rPr>
          <w:rFonts w:ascii="Verdana" w:hAnsi="Verdana" w:cs="Verdana"/>
          <w:sz w:val="22"/>
          <w:szCs w:val="22"/>
          <w:lang w:val="it-IT"/>
        </w:rPr>
        <w:t>PMI</w:t>
      </w:r>
      <w:r w:rsidRPr="005433CF">
        <w:rPr>
          <w:rFonts w:ascii="Verdana" w:hAnsi="Verdana" w:cs="Verdana"/>
          <w:sz w:val="22"/>
          <w:szCs w:val="22"/>
          <w:lang w:val="it-IT"/>
        </w:rPr>
        <w:t>intende</w:t>
      </w:r>
      <w:proofErr w:type="spellEnd"/>
      <w:r w:rsidRPr="005433CF">
        <w:rPr>
          <w:rFonts w:ascii="Verdana" w:hAnsi="Verdana" w:cs="Verdana"/>
          <w:sz w:val="22"/>
          <w:szCs w:val="22"/>
          <w:lang w:val="it-IT"/>
        </w:rPr>
        <w:t xml:space="preserve"> quindi offrire un riconoscimento alle iniziative che creano un contesto favorevole alle imprese, in particolare riconoscendo l'importanza dell'imprenditorialità.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Considerato l’ampio ambito geografico e culturale di provenienza delle candidature, che abbracciano tutta l’Unione europea, le buone pratiche finiscono per rispecchiare accuratamente i diversi modi in cui le regioni, i comuni, le città, i paesi e le collettività hanno realizzato in modo creativo contesti e pratiche che incoraggiano l'imprenditorialità.  </w:t>
      </w:r>
    </w:p>
    <w:p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6" w:name="_Toc158800438"/>
      <w:bookmarkStart w:id="17" w:name="_Toc158800416"/>
      <w:bookmarkStart w:id="18" w:name="_Toc158800206"/>
      <w:bookmarkStart w:id="19" w:name="_Toc348103522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1.4. Vantaggi per i partecipanti e i vincitori</w:t>
      </w:r>
      <w:bookmarkEnd w:id="16"/>
      <w:bookmarkEnd w:id="17"/>
      <w:bookmarkEnd w:id="18"/>
      <w:bookmarkEnd w:id="19"/>
    </w:p>
    <w:p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>Tutti coloro che sono stati designati dal rispettivo Paese quali candidati ai Premi europei per la promozione d'impresa saranno invitati a partecipare alla cerimonia di premiazione.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informazioni di tutte le iniziative intraprese dai candidati saranno caricate sul sito Web </w:t>
      </w:r>
      <w:hyperlink r:id="rId7" w:history="1">
        <w:proofErr w:type="spellStart"/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European</w:t>
        </w:r>
        <w:proofErr w:type="spellEnd"/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 xml:space="preserve"> </w:t>
        </w:r>
        <w:proofErr w:type="spellStart"/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Enterprise</w:t>
        </w:r>
        <w:proofErr w:type="spellEnd"/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 xml:space="preserve"> Promotion </w:t>
        </w:r>
        <w:proofErr w:type="spellStart"/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Awards</w:t>
        </w:r>
        <w:proofErr w:type="spellEnd"/>
        <w:r w:rsidRPr="005433CF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’ website</w:t>
        </w:r>
      </w:hyperlink>
      <w:r w:rsidRPr="005433CF">
        <w:rPr>
          <w:rFonts w:ascii="Verdana" w:hAnsi="Verdana" w:cs="Verdana"/>
          <w:sz w:val="22"/>
          <w:szCs w:val="22"/>
          <w:lang w:val="it-IT"/>
        </w:rPr>
        <w:t xml:space="preserve">, rendendole note a un pubblico quanto più ampio possibile. Una campagna sui mass-media e sui social media farà pubblicità ai candidati ponendoli al centro dell’attenzione.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Vi saranno due tipi di vincitori: vincitori per categoria per la realizzazione creativa di pratiche imprenditoriali e un unico vincitore generale che riceverà il Gran Premio della Giuria. Oltre a ricevere il premio in questione, i vincitori riceveranno un riconoscimento per la creatività dimostrata e per il successo nella riuscita del progetto. Essi fungeranno quindi da esempi per ispirare altre iniziative all'interno dell’Unione europea.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attività sui mass-media si svolgeranno sia a livello nazionale che europeo in modo da assicurare che i vincitori ricevano il riconoscimento che meritano all'interno delle loro collettività come anche su importanti mass-media europei. </w:t>
      </w:r>
    </w:p>
    <w:p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7778FE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20" w:name="_Toc158800439"/>
      <w:bookmarkStart w:id="21" w:name="_Toc158800417"/>
      <w:bookmarkStart w:id="22" w:name="_Toc158800207"/>
      <w:bookmarkStart w:id="23" w:name="_Toc348103523"/>
      <w:r w:rsidRPr="007778FE">
        <w:rPr>
          <w:rFonts w:ascii="Verdana" w:hAnsi="Verdana" w:cs="Verdana"/>
          <w:color w:val="auto"/>
          <w:lang w:val="it-IT"/>
        </w:rPr>
        <w:t>2. METODOLOGIA</w:t>
      </w:r>
      <w:bookmarkEnd w:id="20"/>
      <w:bookmarkEnd w:id="21"/>
      <w:bookmarkEnd w:id="22"/>
      <w:bookmarkEnd w:id="23"/>
    </w:p>
    <w:p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24" w:name="_Toc158800208"/>
      <w:bookmarkStart w:id="25" w:name="_Toc158800418"/>
      <w:bookmarkStart w:id="26" w:name="_Toc158800440"/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7" w:name="_Toc34810352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2.1. Pubblico target</w:t>
      </w:r>
      <w:bookmarkEnd w:id="24"/>
      <w:bookmarkEnd w:id="25"/>
      <w:bookmarkEnd w:id="26"/>
      <w:bookmarkEnd w:id="27"/>
    </w:p>
    <w:p w:rsidR="002A2898" w:rsidRPr="005433CF" w:rsidRDefault="0071719E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71719E">
        <w:rPr>
          <w:rFonts w:ascii="Verdana" w:hAnsi="Verdana" w:cs="Verdana"/>
          <w:sz w:val="22"/>
          <w:szCs w:val="22"/>
          <w:lang w:val="it-IT"/>
        </w:rPr>
        <w:t xml:space="preserve">Il concorso è aperto a enti pubblici dell'UE e paesi associati al programma COSME e Regno </w:t>
      </w:r>
      <w:proofErr w:type="spellStart"/>
      <w:r w:rsidRPr="0071719E">
        <w:rPr>
          <w:rFonts w:ascii="Verdana" w:hAnsi="Verdana" w:cs="Verdana"/>
          <w:sz w:val="22"/>
          <w:szCs w:val="22"/>
          <w:lang w:val="it-IT"/>
        </w:rPr>
        <w:t>Unito.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Tra</w:t>
      </w:r>
      <w:proofErr w:type="spellEnd"/>
      <w:r w:rsidR="002A2898" w:rsidRPr="005433CF">
        <w:rPr>
          <w:rFonts w:ascii="Verdana" w:hAnsi="Verdana" w:cs="Verdana"/>
          <w:sz w:val="22"/>
          <w:szCs w:val="22"/>
          <w:lang w:val="it-IT"/>
        </w:rPr>
        <w:t xml:space="preserve"> i soggetti ammissibili figurano organizzazioni nazionali, comuni, città, regioni e comunità, nonché partenariati pubblico-privati tra autorità pubbliche e imprenditori, programmi educativi e organizzazioni imprenditoriali. </w:t>
      </w:r>
    </w:p>
    <w:p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8" w:name="_Toc158800441"/>
      <w:bookmarkStart w:id="29" w:name="_Toc158800419"/>
      <w:bookmarkStart w:id="30" w:name="_Toc158800209"/>
      <w:bookmarkStart w:id="31" w:name="_Toc34810352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2.2. Categorie</w:t>
      </w:r>
      <w:bookmarkEnd w:id="28"/>
      <w:bookmarkEnd w:id="29"/>
      <w:bookmarkEnd w:id="30"/>
      <w:bookmarkEnd w:id="31"/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Vi sono sei categorie di premi e ciascuna di esse intende riconoscere le iniziative locali, regionali o nazionali che danno un efficace impulso alle loro imprese: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numPr>
          <w:ilvl w:val="0"/>
          <w:numId w:val="12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Promozione dello spirito imprenditoriale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riconosce le iniziative a livello nazionale, regionale o locale che promuovono una mentalità imprenditoriale particolarmente tra giovani e donne. </w:t>
      </w:r>
    </w:p>
    <w:p w:rsidR="002A2898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eventi e campagne per promuovere l'immagine dell'imprenditorialità e degli imprenditori e una cultura che incoraggia la creatività, l’innovazione e l’accettazione del rischio.</w:t>
      </w:r>
    </w:p>
    <w:p w:rsidR="002A2898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Pr="005433CF" w:rsidRDefault="002A2898" w:rsidP="000F749E">
      <w:pPr>
        <w:ind w:left="72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Default="002A2898" w:rsidP="0047539E">
      <w:pPr>
        <w:numPr>
          <w:ilvl w:val="0"/>
          <w:numId w:val="12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ED5CA8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Investimento nelle competenze imprenditoriali</w:t>
      </w:r>
      <w:r w:rsidRPr="00ED5CA8">
        <w:rPr>
          <w:rFonts w:ascii="Verdana" w:hAnsi="Verdana" w:cs="Verdana"/>
          <w:sz w:val="22"/>
          <w:szCs w:val="22"/>
          <w:lang w:val="it-IT"/>
        </w:rPr>
        <w:t xml:space="preserve">: </w:t>
      </w:r>
      <w:r w:rsidR="00ED5CA8" w:rsidRPr="00ED5CA8">
        <w:rPr>
          <w:rFonts w:ascii="Verdana" w:hAnsi="Verdana" w:cs="Verdana"/>
          <w:sz w:val="22"/>
          <w:szCs w:val="22"/>
          <w:lang w:val="it-IT"/>
        </w:rPr>
        <w:t>riconosce iniziative a livello nazionale, regionale o locale volte a migliorare le capacità imprenditoriali, gestionali e dei dipendenti.</w:t>
      </w:r>
    </w:p>
    <w:p w:rsidR="00ED5CA8" w:rsidRPr="00ED5CA8" w:rsidRDefault="00ED5CA8" w:rsidP="00ED5CA8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promozione di abilità specifiche come le competenze tecniche necessarie nel settore dell'artigianato, capacità linguistiche, alfabetizzazione informatica; sistemi di tutoraggio e mobilità per gli imprenditori, educazione all'imprenditorialità nelle scuole e nelle università.</w:t>
      </w:r>
    </w:p>
    <w:p w:rsidR="002A2898" w:rsidRPr="005433CF" w:rsidRDefault="002A2898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numPr>
          <w:ilvl w:val="0"/>
          <w:numId w:val="12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Sviluppo dell'ambiente imprenditoriale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riconosce politiche innovative a livello nazionale, regionale o locale volte a promuovere l’avvio e lo sviluppo delle </w:t>
      </w: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>imprese, a semplificare le procedure legislative e amministrative per le aziende e ad attuare il principio “pensare anzitutto in piccolo" a favore delle piccole e medie imprese.</w:t>
      </w:r>
    </w:p>
    <w:p w:rsidR="002A2898" w:rsidRPr="005433CF" w:rsidRDefault="005B6DD2" w:rsidP="000F749E">
      <w:pPr>
        <w:ind w:left="720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4B3FDF">
        <w:rPr>
          <w:rFonts w:ascii="Verdana" w:hAnsi="Verdana" w:cs="Verdana"/>
          <w:i/>
          <w:iCs/>
          <w:sz w:val="22"/>
          <w:szCs w:val="22"/>
          <w:lang w:val="it-IT"/>
        </w:rPr>
        <w:t>Esempi: misure per facilitare l'accesso ai mercati degli appalti pubblici per le PMI, ridurre la burocrazia, far decollare nuove imprese, sostenere il trasferimento della proprietà delle imprese, contribuire a promuovere il potenziale innovativo della tecnologia dell'informazione e delle comunicazioni (TIC) e dell'e-business</w:t>
      </w:r>
      <w:r w:rsidR="002A2898" w:rsidRPr="005433CF">
        <w:rPr>
          <w:rFonts w:ascii="Verdana" w:hAnsi="Verdana" w:cs="Verdana"/>
          <w:i/>
          <w:iCs/>
          <w:sz w:val="22"/>
          <w:szCs w:val="22"/>
          <w:lang w:val="it-IT"/>
        </w:rPr>
        <w:t>.</w:t>
      </w:r>
    </w:p>
    <w:p w:rsidR="002A2898" w:rsidRPr="005433CF" w:rsidRDefault="002A2898" w:rsidP="000F749E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numPr>
          <w:ilvl w:val="0"/>
          <w:numId w:val="12"/>
        </w:numPr>
        <w:tabs>
          <w:tab w:val="clear" w:pos="1080"/>
        </w:tabs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Sostegno all’internazionalizzazione delle imprese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riconosce le politiche e le iniziative a livello nazionale, regionale o locale, atte a stimolare le aziende, e in particolare le piccole e medie imprese, a sfruttare maggiormente le opportunità offerte dai mercati interni ed esterni all’Unione Europea. </w:t>
      </w:r>
    </w:p>
    <w:p w:rsidR="002A2898" w:rsidRPr="005433CF" w:rsidRDefault="002A2898" w:rsidP="00E04985">
      <w:pPr>
        <w:ind w:left="720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progetti volti a creare, mantenere e sostenere rapporti di cooperazione internazionale fra aziende, strumenti informativi o di ricerca di partner, servizi di sostegno o iniziative in grado di aiutare le PMI a sbarcare sui mercati esteri.</w:t>
      </w:r>
    </w:p>
    <w:p w:rsidR="002A2898" w:rsidRPr="005433CF" w:rsidRDefault="002A2898" w:rsidP="00E04985">
      <w:pPr>
        <w:ind w:left="720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</w:p>
    <w:p w:rsidR="002A2898" w:rsidRDefault="002A2898" w:rsidP="00E04985">
      <w:pPr>
        <w:numPr>
          <w:ilvl w:val="0"/>
          <w:numId w:val="12"/>
        </w:numPr>
        <w:tabs>
          <w:tab w:val="clear" w:pos="1080"/>
        </w:tabs>
        <w:ind w:left="709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Sostegn</w:t>
      </w:r>
      <w:r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o allo sviluppo di prodotti “green”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e all’efficienza delle risorse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riconosce le politiche e le iniziative a livello nazionale, regionale o locale atte a supportare l’accesso delle PMI ai mercati verdi e a favorire un miglioramento dell’efficienza delle loro risorse, attraverso, ad esempio, lo sviluppo di competenze, opportunità di stabilire rapporti d'affari e finanziamenti in materia di </w:t>
      </w:r>
      <w:proofErr w:type="spellStart"/>
      <w:r w:rsidRPr="005433CF">
        <w:rPr>
          <w:rFonts w:ascii="Verdana" w:hAnsi="Verdana" w:cs="Verdana"/>
          <w:sz w:val="22"/>
          <w:szCs w:val="22"/>
          <w:lang w:val="it-IT"/>
        </w:rPr>
        <w:t>ecosostenibilità</w:t>
      </w:r>
      <w:proofErr w:type="spellEnd"/>
      <w:r w:rsidRPr="005433CF">
        <w:rPr>
          <w:rFonts w:ascii="Verdana" w:hAnsi="Verdana" w:cs="Verdana"/>
          <w:sz w:val="22"/>
          <w:szCs w:val="22"/>
          <w:lang w:val="it-IT"/>
        </w:rPr>
        <w:t>.</w:t>
      </w:r>
    </w:p>
    <w:p w:rsidR="00ED5CA8" w:rsidRPr="00ED5CA8" w:rsidRDefault="00ED5CA8" w:rsidP="00ED5CA8">
      <w:pPr>
        <w:ind w:left="709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ED5CA8">
        <w:rPr>
          <w:rFonts w:ascii="Verdana" w:hAnsi="Verdana" w:cs="Verdana"/>
          <w:i/>
          <w:iCs/>
          <w:sz w:val="22"/>
          <w:szCs w:val="22"/>
          <w:lang w:val="it-IT"/>
        </w:rPr>
        <w:t>Esempio: imprese che si adattano in particolare a modelli di business sostenibili.</w:t>
      </w:r>
    </w:p>
    <w:p w:rsidR="002A2898" w:rsidRPr="005433CF" w:rsidRDefault="002A2898" w:rsidP="002E1170">
      <w:pPr>
        <w:ind w:left="108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E04985">
      <w:pPr>
        <w:numPr>
          <w:ilvl w:val="0"/>
          <w:numId w:val="12"/>
        </w:numPr>
        <w:tabs>
          <w:tab w:val="clear" w:pos="1080"/>
        </w:tabs>
        <w:ind w:left="709" w:hanging="283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Imprenditorialità responsabile e inclusiva</w:t>
      </w:r>
      <w:r w:rsidRPr="005433CF">
        <w:rPr>
          <w:rFonts w:ascii="Verdana" w:hAnsi="Verdana" w:cs="Verdana"/>
          <w:sz w:val="22"/>
          <w:szCs w:val="22"/>
          <w:lang w:val="it-IT"/>
        </w:rPr>
        <w:t>: riconosce le iniziative nazionali, regionali o locali di autorità o partenariati pubblico-privati che promuovono la responsabilità sociale d’impresa all’interno delle piccole e medie imprese. Questa categoria riconosce altresì gli sforzi volti a promuovere l’imprenditorialità tra i gruppi svantaggiati, come disoccupati, in particolare quelli a lungo termine, migranti regolari, disabili o persone appartenenti a minoranze etniche.</w:t>
      </w:r>
    </w:p>
    <w:p w:rsidR="002A2898" w:rsidRPr="005433CF" w:rsidRDefault="002A2898" w:rsidP="000F749E">
      <w:pPr>
        <w:ind w:left="720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5433CF">
        <w:rPr>
          <w:rFonts w:ascii="Verdana" w:hAnsi="Verdana" w:cs="Verdana"/>
          <w:i/>
          <w:iCs/>
          <w:sz w:val="22"/>
          <w:szCs w:val="22"/>
          <w:lang w:val="it-IT"/>
        </w:rPr>
        <w:t>Esempi: imprese sociali o senza scopo di lucro che operano a favore della società attraverso l’imprenditoria.</w:t>
      </w:r>
    </w:p>
    <w:p w:rsidR="002A2898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europea assegnerà anche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alla candidatura, di una qualsiasi delle suddette categorie, cui si riconosca il carattere più creativo ed esemplare per quanto concerne la promozione dell’imprenditorialità. </w:t>
      </w:r>
    </w:p>
    <w:p w:rsidR="002A2898" w:rsidRPr="005433CF" w:rsidRDefault="002A2898" w:rsidP="000F749E">
      <w:pPr>
        <w:autoSpaceDE w:val="0"/>
        <w:autoSpaceDN w:val="0"/>
        <w:adjustRightInd w:val="0"/>
        <w:jc w:val="both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2" w:name="_Toc158800442"/>
      <w:bookmarkStart w:id="33" w:name="_Toc158800420"/>
      <w:bookmarkStart w:id="34" w:name="_Toc158800210"/>
      <w:bookmarkStart w:id="35" w:name="_Toc348103526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 Procedura di selezione in due fasi</w:t>
      </w:r>
      <w:bookmarkEnd w:id="32"/>
      <w:bookmarkEnd w:id="33"/>
      <w:bookmarkEnd w:id="34"/>
      <w:bookmarkEnd w:id="35"/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Per i Premi europei per la promozione d’impresa sono previste due fasi di selezione. La prima fase è a livello nazionale e solo superando questa prima fase di selezioni nazionali i candidati potranno essere ammessi alla fase finale europea che assegnerà i premi.</w:t>
      </w:r>
    </w:p>
    <w:p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keepNext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6" w:name="_Toc158800443"/>
      <w:bookmarkStart w:id="37" w:name="_Toc158800421"/>
      <w:bookmarkStart w:id="38" w:name="_Toc34810352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2.3.1. Livello nazionale</w:t>
      </w:r>
      <w:bookmarkEnd w:id="36"/>
      <w:bookmarkEnd w:id="37"/>
      <w:bookmarkEnd w:id="38"/>
    </w:p>
    <w:p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 Paese partecipante designa un Coordinatore EEPA, “Coordinatore”, </w:t>
      </w:r>
      <w:r>
        <w:rPr>
          <w:rFonts w:ascii="Verdana" w:hAnsi="Verdana" w:cs="Verdana"/>
          <w:sz w:val="22"/>
          <w:szCs w:val="22"/>
          <w:lang w:val="it-IT"/>
        </w:rPr>
        <w:t>precedentemente noto come SPC o “Unico Punto di C</w:t>
      </w:r>
      <w:r w:rsidRPr="005433CF">
        <w:rPr>
          <w:rFonts w:ascii="Verdana" w:hAnsi="Verdana" w:cs="Verdana"/>
          <w:sz w:val="22"/>
          <w:szCs w:val="22"/>
          <w:lang w:val="it-IT"/>
        </w:rPr>
        <w:t>ontatto”.</w:t>
      </w:r>
    </w:p>
    <w:p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nazionali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promuovono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 Premi europei per la promozione d’impresa nei rispettivi Paesi e invitano i portatori delle iniziative che appaiano adeguate a candidarsi al </w:t>
      </w: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processo di selezione nazionale. Le 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scadenze in ciascun Paese sono decise dai singoli Coordinatori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I Coordinatori possono decidere se organizzare o meno un concorso nazionale o una cerimonia di assegnazione del premio. La Commissione europea mette a disposizione un modulo standard di partecipazione, qualora i Coordinatori desiderassero utilizzarlo a livello nazionale.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fungono da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help desk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per i candidati potenziali che hanno bisogno di chiarimenti o orientamento durante il processo di candidatura. Le linee guida per la selezione dei candidati sono riportate nel presente documento.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volta ricevute le candidature, i Coordinatori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selezionano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un massimo di due iniziative, da due categorie diverse, quali candidate del proprio Paese ai Premi europei per la promozione d’impresa.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Il processo decisionale è in ciascun Paese a discrezione dei Coordinato</w:t>
      </w:r>
      <w:r>
        <w:rPr>
          <w:rFonts w:ascii="Verdana" w:hAnsi="Verdana" w:cs="Verdana"/>
          <w:sz w:val="22"/>
          <w:szCs w:val="22"/>
          <w:lang w:val="it-IT"/>
        </w:rPr>
        <w:t xml:space="preserve">ri; tuttavia, ciascun Paese deve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essere in grado di motivare le scelte compiute stilando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rapporti trasparenti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– ad esempio i verbali delle riunioni di selezione – che presenteranno, su richiesta, alla Commissione europea.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Ai fini dei Premi europei per la promozione d’impresa, ciascun Paese deve avere un massimo di due candidati nazionali in due categorie diverse.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Le candidature a livello europeo possono essere presentate in una qualsiasi delle lingue ufficiali dell’UE.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</w:p>
    <w:p w:rsidR="002A2898" w:rsidRPr="004B3FD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Il termine ultimo di cui dispongono i Coordinatori per presentare elettronicamente i loro candidati nazionali alla seconda e ultima fase dei Premi europei per la promozione d’impresa è il </w:t>
      </w:r>
      <w:r w:rsidR="00C503A0">
        <w:rPr>
          <w:rFonts w:ascii="Verdana" w:hAnsi="Verdana" w:cs="Verdana"/>
          <w:b/>
          <w:bCs/>
          <w:sz w:val="22"/>
          <w:szCs w:val="22"/>
          <w:lang w:val="it-IT"/>
        </w:rPr>
        <w:t>3</w:t>
      </w:r>
      <w:r w:rsidR="004B3FDF">
        <w:rPr>
          <w:rFonts w:ascii="Verdana" w:hAnsi="Verdana" w:cs="Verdana"/>
          <w:b/>
          <w:bCs/>
          <w:sz w:val="22"/>
          <w:szCs w:val="22"/>
          <w:lang w:val="it-IT"/>
        </w:rPr>
        <w:t xml:space="preserve"> </w:t>
      </w:r>
      <w:r w:rsidR="008A6FAD" w:rsidRPr="008A6FAD">
        <w:rPr>
          <w:rFonts w:ascii="Verdana" w:hAnsi="Verdana" w:cs="Verdana"/>
          <w:b/>
          <w:bCs/>
          <w:sz w:val="22"/>
          <w:szCs w:val="22"/>
          <w:lang w:val="it-IT"/>
        </w:rPr>
        <w:t>luglio</w:t>
      </w:r>
      <w:r w:rsidR="003F01D4">
        <w:rPr>
          <w:rFonts w:ascii="Verdana" w:hAnsi="Verdana" w:cs="Verdana"/>
          <w:b/>
          <w:bCs/>
          <w:sz w:val="22"/>
          <w:szCs w:val="22"/>
          <w:lang w:val="it-IT"/>
        </w:rPr>
        <w:t xml:space="preserve"> 20</w:t>
      </w:r>
      <w:r w:rsidR="00ED5CA8">
        <w:rPr>
          <w:rFonts w:ascii="Verdana" w:hAnsi="Verdana" w:cs="Verdana"/>
          <w:b/>
          <w:bCs/>
          <w:sz w:val="22"/>
          <w:szCs w:val="22"/>
          <w:lang w:val="it-IT"/>
        </w:rPr>
        <w:t>20</w:t>
      </w:r>
      <w:r w:rsidRPr="005433CF">
        <w:rPr>
          <w:rFonts w:ascii="Verdana" w:hAnsi="Verdana" w:cs="Verdana"/>
          <w:sz w:val="22"/>
          <w:szCs w:val="22"/>
          <w:lang w:val="it-IT"/>
        </w:rPr>
        <w:t>, entro il termine della giornata lavorativa.</w:t>
      </w:r>
    </w:p>
    <w:p w:rsidR="004B3FDF" w:rsidRPr="004B3FDF" w:rsidRDefault="004B3FDF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lang w:val="it-IT"/>
        </w:rPr>
      </w:pPr>
      <w:r w:rsidRPr="004B3FDF">
        <w:rPr>
          <w:rFonts w:ascii="Verdana" w:hAnsi="Verdana" w:cs="Verdana"/>
          <w:b/>
          <w:lang w:val="it-IT"/>
        </w:rPr>
        <w:t>Per il Coordinatore italiano il termine è posticipato al 3 settembre 2020</w:t>
      </w:r>
      <w:r w:rsidRPr="004B3FDF">
        <w:rPr>
          <w:rFonts w:ascii="Verdana" w:hAnsi="Verdana" w:cs="Verdana"/>
          <w:lang w:val="it-IT"/>
        </w:rPr>
        <w:t>.</w:t>
      </w:r>
    </w:p>
    <w:p w:rsidR="002A2898" w:rsidRPr="004B3FD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Durante la seconda fase, le candidature devono essere inviate esclusivamente per posta elettronica,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sia in formato PDF che in formato Word</w:t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456420" w:rsidRDefault="002A2898" w:rsidP="00456420">
      <w:pPr>
        <w:rPr>
          <w:rFonts w:ascii="Arial" w:hAnsi="Arial" w:cs="Arial"/>
          <w:lang w:val="it-IT"/>
        </w:rPr>
      </w:pPr>
      <w:r w:rsidRPr="004B3FDF">
        <w:rPr>
          <w:rFonts w:ascii="Arial" w:hAnsi="Arial" w:cs="Arial"/>
          <w:u w:val="single"/>
          <w:lang w:val="it-IT"/>
        </w:rPr>
        <w:t>Inviare i moduli di candidatura all’indirizzo</w:t>
      </w:r>
      <w:hyperlink r:id="rId8" w:history="1">
        <w:r w:rsidRPr="004B3FDF">
          <w:rPr>
            <w:rFonts w:ascii="Arial" w:hAnsi="Arial" w:cs="Arial"/>
            <w:lang w:val="it-IT"/>
          </w:rPr>
          <w:t>:</w:t>
        </w:r>
      </w:hyperlink>
      <w:bookmarkStart w:id="39" w:name="OLE_LINK3"/>
      <w:bookmarkStart w:id="40" w:name="OLE_LINK4"/>
      <w:bookmarkStart w:id="41" w:name="_Toc158800422"/>
      <w:bookmarkStart w:id="42" w:name="_Toc158800444"/>
      <w:r w:rsidR="004B3FDF" w:rsidRPr="004B3FDF">
        <w:rPr>
          <w:rFonts w:ascii="Arial" w:hAnsi="Arial" w:cs="Arial"/>
          <w:lang w:val="it-IT"/>
        </w:rPr>
        <w:t xml:space="preserve"> </w:t>
      </w:r>
      <w:hyperlink r:id="rId9" w:history="1">
        <w:r w:rsidR="004B3FDF" w:rsidRPr="0040032F">
          <w:rPr>
            <w:rStyle w:val="Collegamentoipertestuale"/>
            <w:rFonts w:ascii="Arial" w:hAnsi="Arial" w:cs="Arial"/>
            <w:lang w:val="it-IT"/>
          </w:rPr>
          <w:t>Ann.garrott@loweurope.eu</w:t>
        </w:r>
      </w:hyperlink>
    </w:p>
    <w:p w:rsidR="004B3FDF" w:rsidRDefault="004B3FDF" w:rsidP="00456420">
      <w:pPr>
        <w:rPr>
          <w:rFonts w:ascii="Arial" w:hAnsi="Arial" w:cs="Arial"/>
          <w:lang w:val="it-IT"/>
        </w:rPr>
      </w:pPr>
    </w:p>
    <w:p w:rsidR="004B3FDF" w:rsidRPr="004B3FDF" w:rsidRDefault="004B3FDF" w:rsidP="00456420">
      <w:pPr>
        <w:rPr>
          <w:rFonts w:ascii="Arial" w:hAnsi="Arial" w:cs="Arial"/>
          <w:lang w:val="it-IT"/>
        </w:rPr>
      </w:pPr>
    </w:p>
    <w:bookmarkEnd w:id="39"/>
    <w:bookmarkEnd w:id="40"/>
    <w:p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u w:val="single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3" w:name="_Toc34810352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2.3.2. Livello europeo</w:t>
      </w:r>
      <w:bookmarkEnd w:id="41"/>
      <w:bookmarkEnd w:id="42"/>
      <w:bookmarkEnd w:id="43"/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Una volta che i Coordinatori avranno presentato il candidato o un massimo di due candidati nazionali, i moduli di candidatura</w:t>
      </w:r>
      <w:r w:rsidRPr="005433CF">
        <w:rPr>
          <w:rStyle w:val="StyleFootnoteReferenceArial10pt"/>
          <w:rFonts w:ascii="Verdana" w:hAnsi="Verdana" w:cs="Verdana"/>
          <w:color w:val="auto"/>
          <w:sz w:val="22"/>
          <w:szCs w:val="22"/>
        </w:rPr>
        <w:footnoteReference w:id="3"/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– massimo 10 pagine – verranno inoltrati alla Commissione europea.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membri della Giuria europea saranno selezionati dalla Commissione europea.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La Giuria sarà composta da un rappresentante del mondo accademico, un'organizzazione aziendale, un rappresentante del Consiglio europeo di primavera, che può essere un imprenditore, un’organizzazione aziendale o un rappresentante di spicco del governo, e da un rappresentante di spicco del governo che presiede il Consiglio europeo d'autunno dell'anno in questione. Ci saranno anche due rappresentanti permanenti, uno della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>DG Mercato interno, industria, imprenditoria e PMI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 uno del Comitato delle regioni. La Commissione inviterà anche il vincitore del Gran Premio della Giuria di un determinato anno a sedere nella Giuria l'anno successivo.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Verrà mantenuto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database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delle candidature e i membri della Giuria riceveranno tutte le candidature in formato elettronico. Su richiesta si forniranno ulteriori informazioni.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si riunirà a Bruxelles per discutere le candidature. Essa designerà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presidente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il cui voto sarà decisivo nel caso di candidature che abbiano ricevuto lo stesso punteggio; un segretario dell'agenzia contraente presenzierà alla riunione della Giuria.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Nel corso della riunione verrà scelto dalla rosa di candidati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 vincitore per ciascuna categoria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nonché un vincitore generale del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La Giuria effettuerà le scelte sulla base dei criteri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ammissibilità e di assegnazione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enunciati di seguito.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può decidere di inserire una candidatura in una categoria alternativa qualora lo ritenga opportuno 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può decidere di non assegnare un premio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qualora ritenga insufficiente la qualità delle candidature.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presenterà le conclusioni delle proprie deliberazioni alla Commissione europea, la quale indicherà i vincitori per le diverse categorie e il vincitore del Gran Premio della Giuria.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La decisione della Giuria è inappellabile</w:t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Tutti candidati che abbiano superato quest'ultima selezione saranno invitati alla cerimonia di assegnazione del premio, in occasione della quale verranno proclamati i vincitori per categoria 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vincitore del 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4" w:name="_Toc158800211"/>
      <w:bookmarkStart w:id="45" w:name="_Toc158800423"/>
      <w:bookmarkStart w:id="46" w:name="_Toc158800445"/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7" w:name="_Toc34810352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2.4. Criteri di ammissibilità</w:t>
      </w:r>
      <w:bookmarkEnd w:id="44"/>
      <w:bookmarkEnd w:id="45"/>
      <w:bookmarkEnd w:id="46"/>
      <w:bookmarkEnd w:id="47"/>
    </w:p>
    <w:p w:rsidR="002A2898" w:rsidRPr="004B3FDF" w:rsidRDefault="00B4293C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4B3FDF">
        <w:rPr>
          <w:rFonts w:ascii="Verdana" w:hAnsi="Verdana" w:cs="Verdana"/>
          <w:sz w:val="22"/>
          <w:szCs w:val="22"/>
          <w:lang w:val="it-IT"/>
        </w:rPr>
        <w:t>Il concorso è aperto a tutte le autorità locali, regionali e nazionali dell'UE o dei paesi associati nell'ambito del programma COSME e del Regno Unito (vedere l'elenco dei paesi di cui al punto 1.1). Ciò include città, città, regioni e comunità, nonché partenariati pubblico-privato tra autorità pubbliche e imprenditori, programmi educativi, imprese e organizzazioni imprenditoriali.</w:t>
      </w:r>
    </w:p>
    <w:p w:rsidR="00B4293C" w:rsidRPr="005433CF" w:rsidRDefault="00B4293C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Si accetteranno candidature congiunte presentate da più di un Paese per iniziative transfrontaliere a patto che queste abbiano il sostegno di tutti i Paesi interessati.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L’obiettivo dei Premi europei per la promozione d'impresa è di offrire un riconoscimento alle politiche che promuovono l'imprenditorialità a livello locale, regionale e nazionale. Per tale motivo i premi sono aperti a tutte le autorità pubbliche coinvolte nel </w:t>
      </w:r>
      <w:proofErr w:type="spellStart"/>
      <w:r w:rsidRPr="005433CF">
        <w:rPr>
          <w:rFonts w:ascii="Verdana" w:hAnsi="Verdana" w:cs="Verdana"/>
          <w:sz w:val="22"/>
          <w:szCs w:val="22"/>
          <w:lang w:val="it-IT"/>
        </w:rPr>
        <w:t>policy-making</w:t>
      </w:r>
      <w:proofErr w:type="spellEnd"/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Le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autorità pubbliche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sono definite conformemente al contesto nazionale di ciascun Paese partecipante e possono includere istituzioni che partecipano al </w:t>
      </w:r>
      <w:proofErr w:type="spellStart"/>
      <w:r w:rsidRPr="005433CF">
        <w:rPr>
          <w:rFonts w:ascii="Verdana" w:hAnsi="Verdana" w:cs="Verdana"/>
          <w:sz w:val="22"/>
          <w:szCs w:val="22"/>
          <w:lang w:val="it-IT"/>
        </w:rPr>
        <w:t>policy-making</w:t>
      </w:r>
      <w:proofErr w:type="spellEnd"/>
      <w:r w:rsidRPr="005433CF">
        <w:rPr>
          <w:rFonts w:ascii="Verdana" w:hAnsi="Verdana" w:cs="Verdana"/>
          <w:sz w:val="22"/>
          <w:szCs w:val="22"/>
          <w:lang w:val="it-IT"/>
        </w:rPr>
        <w:t xml:space="preserve">, organismi di finanziamento e organizzazioni di esecuzione.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 Premi sono anche aperti ai partenariati pubblico-privati intesi quali "forme di cooperazione tra le autorità pubbliche e il mondo delle imprese che mirano a garantire il finanziamento, la costruzione, il rinnovamento, la gestione o la manutenzione di un'infrastruttura o la fornitura di un servizio”</w:t>
      </w:r>
      <w:r w:rsidRPr="005433CF">
        <w:rPr>
          <w:rStyle w:val="StyleFootnoteReferenceArial10pt"/>
          <w:rFonts w:ascii="Verdana" w:hAnsi="Verdana" w:cs="Verdana"/>
          <w:color w:val="auto"/>
          <w:sz w:val="22"/>
          <w:szCs w:val="22"/>
        </w:rPr>
        <w:footnoteReference w:id="4"/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partenariati pubblico-privati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si configurano nel seguente modo: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accordo finanziario in base al quale l’attore privato è incaricato dell'attuazione di una politica definita dall'autorità pubblica;</w:t>
      </w:r>
    </w:p>
    <w:p w:rsidR="002A2898" w:rsidRPr="005433CF" w:rsidRDefault="002A2898" w:rsidP="000F749E">
      <w:pPr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 accordo tra l'attore privato e l'autorità pubblica in base al quale l’attore privato è coinvolto – in considerazione della sua esperienza, delle sue conoscenze o risorse – nel processo di </w:t>
      </w:r>
      <w:proofErr w:type="spellStart"/>
      <w:r w:rsidRPr="005433CF">
        <w:rPr>
          <w:rFonts w:ascii="Verdana" w:hAnsi="Verdana" w:cs="Verdana"/>
          <w:sz w:val="22"/>
          <w:szCs w:val="22"/>
          <w:lang w:val="it-IT"/>
        </w:rPr>
        <w:t>policy-making</w:t>
      </w:r>
      <w:proofErr w:type="spellEnd"/>
      <w:r w:rsidRPr="005433CF">
        <w:rPr>
          <w:rFonts w:ascii="Verdana" w:hAnsi="Verdana" w:cs="Verdana"/>
          <w:sz w:val="22"/>
          <w:szCs w:val="22"/>
          <w:lang w:val="it-IT"/>
        </w:rPr>
        <w:t>; e</w:t>
      </w:r>
    </w:p>
    <w:p w:rsidR="002A2898" w:rsidRPr="005433CF" w:rsidRDefault="002A2898" w:rsidP="000F749E">
      <w:pPr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sostegno esplicito, non necessariamente di natura finanziaria, che l'autorità pubblica eroga all'attore del settore privato nel quadro di un progetto specifico. Ai fini dei premi</w:t>
      </w:r>
      <w:r>
        <w:rPr>
          <w:rFonts w:ascii="Verdana" w:hAnsi="Verdana" w:cs="Verdana"/>
          <w:sz w:val="22"/>
          <w:szCs w:val="22"/>
          <w:lang w:val="it-IT"/>
        </w:rPr>
        <w:t xml:space="preserve"> in questione tale sostegno deve </w:t>
      </w:r>
      <w:r w:rsidRPr="005433CF">
        <w:rPr>
          <w:rFonts w:ascii="Verdana" w:hAnsi="Verdana" w:cs="Verdana"/>
          <w:sz w:val="22"/>
          <w:szCs w:val="22"/>
          <w:lang w:val="it-IT"/>
        </w:rPr>
        <w:t>essere esplicito.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360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candidature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devono riguardare iniziative esistenti o recenti in materia di </w:t>
      </w:r>
      <w:proofErr w:type="spellStart"/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policy-making</w:t>
      </w:r>
      <w:proofErr w:type="spellEnd"/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, impresa o educazione e l'influenza che esse hanno avuto sulla regione o sulla località in questione,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con evidenza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un'evoluzione incrementale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in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periodo di </w:t>
      </w:r>
      <w:r w:rsidR="005B6DD2">
        <w:rPr>
          <w:rFonts w:ascii="Verdana" w:hAnsi="Verdana" w:cs="Verdana"/>
          <w:sz w:val="22"/>
          <w:szCs w:val="22"/>
          <w:u w:val="single"/>
          <w:lang w:val="it-IT"/>
        </w:rPr>
        <w:t>15 mesi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candidature a livello europeo possono essere presentate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in una qualsiasi delle lingue ufficiali dell'</w:t>
      </w:r>
      <w:proofErr w:type="spellStart"/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UEentro</w:t>
      </w:r>
      <w:proofErr w:type="spellEnd"/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 il termine della giornata lavorativa del </w:t>
      </w:r>
      <w:r w:rsidR="00C503A0">
        <w:rPr>
          <w:rFonts w:ascii="Verdana" w:hAnsi="Verdana" w:cs="Verdana"/>
          <w:sz w:val="22"/>
          <w:szCs w:val="22"/>
          <w:u w:val="single"/>
          <w:lang w:val="it-IT"/>
        </w:rPr>
        <w:t>03</w:t>
      </w:r>
      <w:r w:rsidR="005B5C9A" w:rsidRPr="005B5C9A">
        <w:rPr>
          <w:rFonts w:ascii="Verdana" w:hAnsi="Verdana" w:cs="Verdana"/>
          <w:sz w:val="22"/>
          <w:szCs w:val="22"/>
          <w:u w:val="single"/>
          <w:lang w:val="it-IT"/>
        </w:rPr>
        <w:t>luglio</w:t>
      </w:r>
      <w:r w:rsidR="003F01D4">
        <w:rPr>
          <w:rFonts w:ascii="Verdana" w:hAnsi="Verdana" w:cs="Verdana"/>
          <w:sz w:val="22"/>
          <w:szCs w:val="22"/>
          <w:u w:val="single"/>
          <w:lang w:val="it-IT"/>
        </w:rPr>
        <w:t xml:space="preserve"> </w:t>
      </w:r>
      <w:proofErr w:type="spellStart"/>
      <w:r w:rsidR="003F01D4">
        <w:rPr>
          <w:rFonts w:ascii="Verdana" w:hAnsi="Verdana" w:cs="Verdana"/>
          <w:sz w:val="22"/>
          <w:szCs w:val="22"/>
          <w:u w:val="single"/>
          <w:lang w:val="it-IT"/>
        </w:rPr>
        <w:t>20</w:t>
      </w:r>
      <w:r w:rsidR="005B6DD2">
        <w:rPr>
          <w:rFonts w:ascii="Verdana" w:hAnsi="Verdana" w:cs="Verdana"/>
          <w:sz w:val="22"/>
          <w:szCs w:val="22"/>
          <w:u w:val="single"/>
          <w:lang w:val="it-IT"/>
        </w:rPr>
        <w:t>20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.Le</w:t>
      </w:r>
      <w:proofErr w:type="spellEnd"/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 candidature devono comprendere le seguenti informazioni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>La categoria del premio per la quale ci si candida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2.  Una versione del modulo di candidatura in formato Word e PDF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Un case </w:t>
      </w:r>
      <w:proofErr w:type="spellStart"/>
      <w:r w:rsidRPr="005433CF">
        <w:rPr>
          <w:rFonts w:ascii="Verdana" w:hAnsi="Verdana" w:cs="Verdana"/>
          <w:sz w:val="22"/>
          <w:szCs w:val="22"/>
          <w:lang w:val="it-IT"/>
        </w:rPr>
        <w:t>study</w:t>
      </w:r>
      <w:proofErr w:type="spellEnd"/>
      <w:r w:rsidRPr="005433CF">
        <w:rPr>
          <w:rFonts w:ascii="Verdana" w:hAnsi="Verdana" w:cs="Verdana"/>
          <w:sz w:val="22"/>
          <w:szCs w:val="22"/>
          <w:lang w:val="it-IT"/>
        </w:rPr>
        <w:t xml:space="preserve"> del progetto, preferibilmente con un esempio a livello locale o regionale e comprendente per esempio un'analisi della situazione, le sfide, le soluzioni creative/la strategia d'impresa, l'attuazione, i risultati e il futuro piano d'attuazione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Avallo di un politico, imprenditore o docente universitario d'alto livello. Tale documento dovrà essere in formato PDF con la firma e allegato alla domanda.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5.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Informazioni sul recapito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6.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>Firma</w:t>
      </w:r>
      <w:r w:rsidR="00B4293C">
        <w:rPr>
          <w:rStyle w:val="Rimandonotaapidipagina"/>
          <w:rFonts w:ascii="Verdana" w:hAnsi="Verdana" w:cs="Verdana"/>
          <w:sz w:val="22"/>
          <w:szCs w:val="22"/>
          <w:lang w:val="it-IT"/>
        </w:rPr>
        <w:footnoteReference w:id="5"/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del rappresentante da parte dell’organizzazione candidata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7.   Il materiale cartaceo non è più ammesso a livello europeo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lastRenderedPageBreak/>
        <w:t>La scadenza per il ricevimento delle candidature a livello nazionale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sarà decisa da ciascun Coordinatore nazionale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La scadenza per il ricevimento elettronico delle candidature europee è il </w:t>
      </w:r>
      <w:r w:rsidR="00C503A0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03</w:t>
      </w:r>
      <w:r w:rsidR="008B037A" w:rsidRPr="008B037A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luglio</w:t>
      </w:r>
      <w:r w:rsidR="003F01D4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20</w:t>
      </w:r>
      <w:r w:rsidR="00ED5CA8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20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, entro il termine della giornata lavorativa.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8" w:name="_Toc158800446"/>
      <w:bookmarkStart w:id="49" w:name="_Toc158800424"/>
      <w:bookmarkStart w:id="50" w:name="_Toc158800212"/>
      <w:bookmarkStart w:id="51" w:name="_Toc34810353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2.5. Criteri di ammissibilità</w:t>
      </w:r>
      <w:bookmarkEnd w:id="48"/>
      <w:bookmarkEnd w:id="49"/>
      <w:bookmarkEnd w:id="50"/>
      <w:bookmarkEnd w:id="51"/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volta che si sia decisa l'ammissibilità di un’iniziativa, essa verrà valutata in base ai suoi meriti imprenditoriali.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A ciascuna candidatura verranno attribuiti dei punti sulla base dei seguenti criteri: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Originalità e fattibilità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perché il progetto costituisce un successo? Quali sono i suoi aspetti innovativi?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2.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Impatto sull’economia locale: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presentazione di cifre a supporto dell’esito dichiarato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Miglioramento delle relazioni tra attori locali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più di uno degli attori interessati ha tratto vantaggio dalla realizzazione di quest'iniziativa? Perché vi erano coinvolti e qual è stato il loro livello di partecipazione? </w:t>
      </w:r>
    </w:p>
    <w:p w:rsidR="002A2898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Trasferibilità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: questo approccio potrebbe essere replicato nella regione e altrove in Europa? </w:t>
      </w:r>
    </w:p>
    <w:p w:rsidR="00ED5CA8" w:rsidRPr="005433CF" w:rsidRDefault="00ED5CA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ED5CA8" w:rsidRDefault="00ED5CA8" w:rsidP="000F749E">
      <w:pPr>
        <w:pStyle w:val="Titolo1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52" w:name="_Toc158800447"/>
      <w:bookmarkStart w:id="53" w:name="_Toc158800425"/>
      <w:bookmarkStart w:id="54" w:name="_Toc158800213"/>
      <w:r w:rsidRPr="00ED5CA8">
        <w:rPr>
          <w:rFonts w:ascii="Verdana" w:hAnsi="Verdana" w:cs="Verdana"/>
          <w:color w:val="auto"/>
          <w:sz w:val="22"/>
          <w:szCs w:val="22"/>
          <w:lang w:val="it-IT"/>
        </w:rPr>
        <w:t>Da notare: - poiché il nuovo accordo verde è la priorità generale della Commissione europea, l'aspetto sostenibile sarà tenuto presente in ciascuna categoria.</w:t>
      </w:r>
    </w:p>
    <w:p w:rsidR="002A2898" w:rsidRPr="005433CF" w:rsidRDefault="002A2898" w:rsidP="005433CF">
      <w:pPr>
        <w:pStyle w:val="Default"/>
        <w:rPr>
          <w:lang w:val="it-IT"/>
        </w:rPr>
      </w:pPr>
    </w:p>
    <w:p w:rsidR="002A2898" w:rsidRPr="007778FE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55" w:name="_Toc348103531"/>
      <w:r w:rsidRPr="007778FE">
        <w:rPr>
          <w:rFonts w:ascii="Verdana" w:hAnsi="Verdana" w:cs="Verdana"/>
          <w:color w:val="auto"/>
          <w:lang w:val="it-IT"/>
        </w:rPr>
        <w:t>3. VALUTAZIONE E SELEZIONE A LIVELLO NAZIONALE</w:t>
      </w:r>
      <w:bookmarkEnd w:id="52"/>
      <w:bookmarkEnd w:id="53"/>
      <w:bookmarkEnd w:id="54"/>
      <w:bookmarkEnd w:id="55"/>
    </w:p>
    <w:p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56" w:name="_Toc158800214"/>
      <w:bookmarkStart w:id="57" w:name="_Toc158800426"/>
      <w:bookmarkStart w:id="58" w:name="_Toc158800448"/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</w:rPr>
      </w:pPr>
      <w:bookmarkStart w:id="59" w:name="_Toc348103532"/>
      <w:r w:rsidRPr="005433CF">
        <w:rPr>
          <w:rFonts w:ascii="Verdana" w:hAnsi="Verdana" w:cs="Verdana"/>
          <w:color w:val="auto"/>
          <w:sz w:val="22"/>
          <w:szCs w:val="22"/>
        </w:rPr>
        <w:t xml:space="preserve">3.1. </w:t>
      </w:r>
      <w:proofErr w:type="spellStart"/>
      <w:r w:rsidRPr="005433CF">
        <w:rPr>
          <w:rFonts w:ascii="Verdana" w:hAnsi="Verdana" w:cs="Verdana"/>
          <w:color w:val="auto"/>
          <w:sz w:val="22"/>
          <w:szCs w:val="22"/>
        </w:rPr>
        <w:t>Criteri</w:t>
      </w:r>
      <w:proofErr w:type="spellEnd"/>
      <w:r w:rsidRPr="005433CF"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 w:rsidRPr="005433CF">
        <w:rPr>
          <w:rFonts w:ascii="Verdana" w:hAnsi="Verdana" w:cs="Verdana"/>
          <w:color w:val="auto"/>
          <w:sz w:val="22"/>
          <w:szCs w:val="22"/>
        </w:rPr>
        <w:t>di</w:t>
      </w:r>
      <w:proofErr w:type="spellEnd"/>
      <w:r w:rsidRPr="005433CF"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 w:rsidRPr="005433CF">
        <w:rPr>
          <w:rFonts w:ascii="Verdana" w:hAnsi="Verdana" w:cs="Verdana"/>
          <w:color w:val="auto"/>
          <w:sz w:val="22"/>
          <w:szCs w:val="22"/>
        </w:rPr>
        <w:t>ammissibilità</w:t>
      </w:r>
      <w:bookmarkEnd w:id="56"/>
      <w:bookmarkEnd w:id="57"/>
      <w:bookmarkEnd w:id="58"/>
      <w:bookmarkEnd w:id="59"/>
      <w:proofErr w:type="spellEnd"/>
    </w:p>
    <w:p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2" w:type="dxa"/>
        <w:tblLook w:val="0000"/>
      </w:tblPr>
      <w:tblGrid>
        <w:gridCol w:w="8871"/>
        <w:gridCol w:w="657"/>
        <w:gridCol w:w="658"/>
      </w:tblGrid>
      <w:tr w:rsidR="002A2898" w:rsidRPr="005433CF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  <w:lang w:val="it-IT"/>
              </w:rPr>
              <w:t>Quesiti in materia di ammissibilità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Sì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No</w:t>
            </w: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candidatura è pervenuta entro la scadenza?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Un rappresentante legale ha firmato il modulo di candidatura?  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modulo di candidatura è stato compilato in ogni sua parte e firmato?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B4293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4B3FDF">
              <w:rPr>
                <w:rFonts w:ascii="Verdana" w:hAnsi="Verdana" w:cs="Verdana"/>
                <w:sz w:val="22"/>
                <w:szCs w:val="22"/>
                <w:lang w:val="it-IT"/>
              </w:rPr>
              <w:t>Il concorrente ha sede in uno dei 27 Stati membri o paesi associati al programma COSME (Montenegro, Macedonia del Nord, Turchia, Albania, Serbia, Bosnia ed Erzegovina, Kosovo *, Moldavia, Armenia, Ucraina, Islanda) o nel Regno Unito?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candidato ha presentato un'unica iniziativa per un'unica categoria?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È stata illustrata la natura di eventuali partnership pubbliche/private?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esistente o recente si è svolta in un periodo di </w:t>
            </w:r>
            <w:r w:rsidR="005B6DD2">
              <w:rPr>
                <w:rFonts w:ascii="Verdana" w:hAnsi="Verdana" w:cs="Verdana"/>
                <w:sz w:val="22"/>
                <w:szCs w:val="22"/>
                <w:lang w:val="it-IT"/>
              </w:rPr>
              <w:t>15 mesi</w:t>
            </w:r>
            <w:bookmarkStart w:id="60" w:name="_GoBack"/>
            <w:bookmarkEnd w:id="60"/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4B3F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candidatura è stata avallata da un imprenditore esterno, un politico o un docente universitario?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</w:tbl>
    <w:p w:rsidR="002A2898" w:rsidRPr="005433CF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Se a tutte le domande si è risposto con un “Sì”, la candidatura è accettata. </w:t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Se una candidatura non soddisfa i criteri di ammissibilità elencati sopra, il comitato nazionale di selezione può decidere di chiedere al candidato di apportare le necessarie modifiche – ciò avviene esclusivamente a giudizio e per gentile concessione del comitato di selezione qualora i tempi lo consentano. </w:t>
      </w:r>
    </w:p>
    <w:p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candidatura ritenuta ammissibile partecipa pertanto alla selezione a livello nazionale. </w:t>
      </w:r>
    </w:p>
    <w:p w:rsidR="002A2898" w:rsidRDefault="002A2898">
      <w:pPr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br w:type="page"/>
      </w: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61" w:name="_Toc158800449"/>
      <w:bookmarkStart w:id="62" w:name="_Toc158800427"/>
      <w:bookmarkStart w:id="63" w:name="_Toc158800215"/>
      <w:bookmarkStart w:id="64" w:name="_Toc348103533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3.2. Criteri di selezione</w:t>
      </w:r>
      <w:bookmarkEnd w:id="61"/>
      <w:bookmarkEnd w:id="62"/>
      <w:bookmarkEnd w:id="63"/>
      <w:bookmarkEnd w:id="64"/>
    </w:p>
    <w:p w:rsidR="002A2898" w:rsidRPr="005433CF" w:rsidRDefault="002A2898" w:rsidP="000F749E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Verdana"/>
          <w:sz w:val="22"/>
          <w:szCs w:val="22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Ciascuna candidatura viene valutata raffrontandola con le altre candidature relative alla stessa categoria del premio. </w:t>
      </w:r>
      <w:r w:rsidRPr="005433CF">
        <w:rPr>
          <w:rFonts w:ascii="Verdana" w:hAnsi="Verdana" w:cs="Verdana"/>
          <w:sz w:val="22"/>
          <w:szCs w:val="22"/>
        </w:rPr>
        <w:t xml:space="preserve">Si </w:t>
      </w:r>
      <w:proofErr w:type="spellStart"/>
      <w:r w:rsidRPr="005433CF">
        <w:rPr>
          <w:rFonts w:ascii="Verdana" w:hAnsi="Verdana" w:cs="Verdana"/>
          <w:sz w:val="22"/>
          <w:szCs w:val="22"/>
        </w:rPr>
        <w:t>può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5433CF">
        <w:rPr>
          <w:rFonts w:ascii="Verdana" w:hAnsi="Verdana" w:cs="Verdana"/>
          <w:sz w:val="22"/>
          <w:szCs w:val="22"/>
        </w:rPr>
        <w:t>applicare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 la </w:t>
      </w:r>
      <w:proofErr w:type="spellStart"/>
      <w:r w:rsidRPr="005433CF">
        <w:rPr>
          <w:rFonts w:ascii="Verdana" w:hAnsi="Verdana" w:cs="Verdana"/>
          <w:sz w:val="22"/>
          <w:szCs w:val="22"/>
        </w:rPr>
        <w:t>seguente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5433CF">
        <w:rPr>
          <w:rFonts w:ascii="Verdana" w:hAnsi="Verdana" w:cs="Verdana"/>
          <w:sz w:val="22"/>
          <w:szCs w:val="22"/>
        </w:rPr>
        <w:t>tabella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: </w:t>
      </w:r>
    </w:p>
    <w:tbl>
      <w:tblPr>
        <w:tblW w:w="0" w:type="auto"/>
        <w:tblInd w:w="2" w:type="dxa"/>
        <w:tblLook w:val="0000"/>
      </w:tblPr>
      <w:tblGrid>
        <w:gridCol w:w="7307"/>
        <w:gridCol w:w="1548"/>
      </w:tblGrid>
      <w:tr w:rsidR="002A2898" w:rsidRPr="005433CF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Quesiti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relativi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alla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selezione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Punteggio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massimo</w:t>
            </w:r>
            <w:proofErr w:type="spellEnd"/>
          </w:p>
        </w:tc>
      </w:tr>
      <w:tr w:rsidR="002A2898" w:rsidRPr="005433CF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Originalità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fattibilità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: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stata originale e innovativa?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Perché il progetto costituisce un successo?  </w:t>
            </w:r>
          </w:p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20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  <w:tr w:rsidR="002A2898" w:rsidRPr="005433CF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Impatto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sull’economia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locale: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 è stato l'impatto dell’iniziativa sull'economia locale? 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Ha creato posti di lavoro?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sostenibile in futuro?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Quali effetti positivi avrà nel lungo termine? </w:t>
            </w:r>
          </w:p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30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  <w:tr w:rsidR="002A2898" w:rsidRPr="005433CF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Miglioramento delle relazioni tra attori locali: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popolazione locale è stata coinvolta nell’iniziativa?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Ne hanno tratto profitto gruppi svantaggiati?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Sono state rispettate le peculiarità locali, ambientali e sociali?</w:t>
            </w:r>
          </w:p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25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  <w:tr w:rsidR="002A2898" w:rsidRPr="005433CF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Trasferibilità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: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nella regione?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altrove in Europa?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L’iniziativa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è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esemplare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? </w:t>
            </w:r>
          </w:p>
          <w:p w:rsidR="002A2898" w:rsidRPr="005433CF" w:rsidRDefault="002A2898" w:rsidP="00602B75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Si stanno sviluppando relazioni/partenariati per condividere gli insegnamenti così ricavati?</w:t>
            </w:r>
          </w:p>
          <w:p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25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</w:tbl>
    <w:p w:rsidR="002A2898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In ciascuna categoria la candidatura con il punteggio complessivo più alto sarà considerata vincente. </w:t>
      </w:r>
    </w:p>
    <w:p w:rsidR="002A2898" w:rsidRPr="005433CF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Il comitato di selezione può decidere di collocare una candidatura all’interno di una categoria differente da quella per la quale era stata originariamente presentata. </w:t>
      </w:r>
    </w:p>
    <w:p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65" w:name="_Toc158800450"/>
      <w:bookmarkStart w:id="66" w:name="_Toc158800428"/>
      <w:bookmarkStart w:id="67" w:name="_Toc158800216"/>
      <w:bookmarkStart w:id="68" w:name="_Toc34810353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3.3. Selezione dei candidati</w:t>
      </w:r>
      <w:bookmarkEnd w:id="65"/>
      <w:bookmarkEnd w:id="66"/>
      <w:bookmarkEnd w:id="67"/>
      <w:bookmarkEnd w:id="68"/>
    </w:p>
    <w:p w:rsidR="002A2898" w:rsidRPr="005433CF" w:rsidRDefault="002A2898" w:rsidP="005433C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In rappresentanza di un singolo Paese per la fase di selezione europea potranno essere presentate al massimo due candidature appartenenti a due categorie differenti e frutto della selezione effettuata a livello nazionale.</w:t>
      </w:r>
    </w:p>
    <w:p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p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sectPr w:rsidR="002A2898" w:rsidRPr="005433CF" w:rsidSect="00614601">
      <w:headerReference w:type="default" r:id="rId10"/>
      <w:headerReference w:type="first" r:id="rId11"/>
      <w:pgSz w:w="12240" w:h="15840"/>
      <w:pgMar w:top="89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9D" w:rsidRDefault="00FB099D">
      <w:r>
        <w:separator/>
      </w:r>
    </w:p>
  </w:endnote>
  <w:endnote w:type="continuationSeparator" w:id="1">
    <w:p w:rsidR="00FB099D" w:rsidRDefault="00FB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9D" w:rsidRDefault="00FB099D">
      <w:r>
        <w:separator/>
      </w:r>
    </w:p>
  </w:footnote>
  <w:footnote w:type="continuationSeparator" w:id="1">
    <w:p w:rsidR="00FB099D" w:rsidRDefault="00FB099D">
      <w:r>
        <w:continuationSeparator/>
      </w:r>
    </w:p>
  </w:footnote>
  <w:footnote w:id="2">
    <w:p w:rsidR="00431286" w:rsidRPr="004B3FDF" w:rsidRDefault="0043128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B3FDF">
        <w:rPr>
          <w:lang w:val="it-IT"/>
        </w:rPr>
        <w:t>Austria, Belgio, Bulgaria, Croazia, Cipro, Repubblica Ceca, Danimarca, Estonia, Finlandia, Francia, Germania, Grecia, Ungheria, Irlanda, Italia, Lettonia, Lituania, Lussemburgo, Malta, Paesi Bassi, Polonia, Portogallo, Romania, Slovacchia, Slovenia, Spagna, Svezia.</w:t>
      </w:r>
    </w:p>
  </w:footnote>
  <w:footnote w:id="3">
    <w:p w:rsidR="002A2898" w:rsidRPr="004B3FDF" w:rsidRDefault="002A2898" w:rsidP="000F749E">
      <w:pPr>
        <w:pStyle w:val="Testonotaapidipagina"/>
        <w:jc w:val="both"/>
        <w:rPr>
          <w:lang w:val="it-IT"/>
        </w:rPr>
      </w:pPr>
      <w:r>
        <w:rPr>
          <w:rStyle w:val="StyleFootnoteReferenceArial10pt"/>
          <w:sz w:val="20"/>
          <w:szCs w:val="20"/>
        </w:rPr>
        <w:footnoteRef/>
      </w:r>
      <w:r w:rsidRPr="007778FE">
        <w:rPr>
          <w:rFonts w:ascii="Arial" w:hAnsi="Arial" w:cs="Arial"/>
          <w:color w:val="000000"/>
          <w:sz w:val="18"/>
          <w:szCs w:val="18"/>
          <w:lang w:val="it-IT"/>
        </w:rPr>
        <w:t xml:space="preserve">Nota </w:t>
      </w:r>
      <w:r>
        <w:rPr>
          <w:rFonts w:ascii="Arial" w:hAnsi="Arial" w:cs="Arial"/>
          <w:color w:val="000000"/>
          <w:sz w:val="18"/>
          <w:szCs w:val="18"/>
          <w:lang w:val="it-IT"/>
        </w:rPr>
        <w:t>ai Coordinatori</w:t>
      </w:r>
      <w:r w:rsidRPr="007778FE">
        <w:rPr>
          <w:rFonts w:ascii="Arial" w:hAnsi="Arial" w:cs="Arial"/>
          <w:color w:val="000000"/>
          <w:sz w:val="18"/>
          <w:szCs w:val="18"/>
          <w:lang w:val="it-IT"/>
        </w:rPr>
        <w:t>: il modello di candidatura è quello da usarsi per</w:t>
      </w:r>
      <w:r>
        <w:rPr>
          <w:rFonts w:ascii="Arial" w:hAnsi="Arial" w:cs="Arial"/>
          <w:color w:val="000000"/>
          <w:sz w:val="18"/>
          <w:szCs w:val="18"/>
          <w:lang w:val="it-IT"/>
        </w:rPr>
        <w:t xml:space="preserve"> la presentazione de</w:t>
      </w:r>
      <w:r w:rsidRPr="007778FE">
        <w:rPr>
          <w:rFonts w:ascii="Arial" w:hAnsi="Arial" w:cs="Arial"/>
          <w:color w:val="000000"/>
          <w:sz w:val="18"/>
          <w:szCs w:val="18"/>
          <w:lang w:val="it-IT"/>
        </w:rPr>
        <w:t>i vostri candidati al concorso europeo. Potete però utilizzarlo anche per le selezioni a livello nazionale.</w:t>
      </w:r>
    </w:p>
  </w:footnote>
  <w:footnote w:id="4">
    <w:p w:rsidR="002A2898" w:rsidRPr="004B3FDF" w:rsidRDefault="002A2898" w:rsidP="000F749E">
      <w:pPr>
        <w:pStyle w:val="Testonotaapidipagina"/>
        <w:rPr>
          <w:lang w:val="it-IT"/>
        </w:rPr>
      </w:pPr>
      <w:r w:rsidRPr="007778FE">
        <w:rPr>
          <w:lang w:val="it-IT"/>
        </w:rPr>
        <w:t xml:space="preserve">Libro verde relativo ai partenariati pubblico-privati e al diritto comunitario degli appalti pubblici e delle concessioni, COM(2004) 327 </w:t>
      </w:r>
      <w:proofErr w:type="spellStart"/>
      <w:r w:rsidRPr="007778FE">
        <w:rPr>
          <w:lang w:val="it-IT"/>
        </w:rPr>
        <w:t>def</w:t>
      </w:r>
      <w:proofErr w:type="spellEnd"/>
      <w:r w:rsidRPr="007778FE">
        <w:rPr>
          <w:lang w:val="it-IT"/>
        </w:rPr>
        <w:t>., Bruxelles, 30.04.2004</w:t>
      </w:r>
    </w:p>
  </w:footnote>
  <w:footnote w:id="5">
    <w:p w:rsidR="00B4293C" w:rsidRPr="004B3FDF" w:rsidRDefault="00B4293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B3FDF">
        <w:rPr>
          <w:lang w:val="it-IT"/>
        </w:rPr>
        <w:t>Le firme possono essere fornite elettronicamente, è accettata anche una versione digitalizzata di una firma analogica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98" w:rsidRPr="007778FE" w:rsidRDefault="002A2898" w:rsidP="008D2C6B">
    <w:pPr>
      <w:tabs>
        <w:tab w:val="right" w:pos="8640"/>
      </w:tabs>
      <w:ind w:right="360"/>
      <w:rPr>
        <w:rStyle w:val="Numeropagina"/>
        <w:sz w:val="20"/>
        <w:szCs w:val="20"/>
        <w:lang w:val="it-IT"/>
      </w:rPr>
    </w:pPr>
    <w:r w:rsidRPr="007778FE">
      <w:rPr>
        <w:rFonts w:ascii="Verdana" w:hAnsi="Verdana" w:cs="Verdana"/>
        <w:i/>
        <w:iCs/>
        <w:sz w:val="20"/>
        <w:szCs w:val="20"/>
        <w:lang w:val="it-IT"/>
      </w:rPr>
      <w:t>Premi europei per la promozione d’impresa 20</w:t>
    </w:r>
    <w:r w:rsidR="0071719E">
      <w:rPr>
        <w:rFonts w:ascii="Verdana" w:hAnsi="Verdana" w:cs="Verdana"/>
        <w:i/>
        <w:iCs/>
        <w:sz w:val="20"/>
        <w:szCs w:val="20"/>
        <w:lang w:val="it-IT"/>
      </w:rPr>
      <w:t>20</w:t>
    </w:r>
    <w:r w:rsidRPr="007778FE">
      <w:rPr>
        <w:rFonts w:ascii="Verdana" w:hAnsi="Verdana" w:cs="Verdana"/>
        <w:i/>
        <w:iCs/>
        <w:sz w:val="20"/>
        <w:szCs w:val="20"/>
        <w:lang w:val="it-IT"/>
      </w:rPr>
      <w:tab/>
    </w:r>
    <w:r w:rsidR="00893096"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PAGE </w:instrText>
    </w:r>
    <w:r w:rsidR="00893096"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4B3FDF">
      <w:rPr>
        <w:rStyle w:val="Numeropagina"/>
        <w:rFonts w:ascii="Verdana" w:hAnsi="Verdana" w:cs="Verdana"/>
        <w:noProof/>
        <w:sz w:val="20"/>
        <w:szCs w:val="20"/>
        <w:lang w:val="it-IT"/>
      </w:rPr>
      <w:t>6</w:t>
    </w:r>
    <w:r w:rsidR="00893096"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t>/</w:t>
    </w:r>
    <w:r w:rsidR="00893096"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NUMPAGES </w:instrText>
    </w:r>
    <w:r w:rsidR="00893096"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4B3FDF">
      <w:rPr>
        <w:rStyle w:val="Numeropagina"/>
        <w:rFonts w:ascii="Verdana" w:hAnsi="Verdana" w:cs="Verdana"/>
        <w:noProof/>
        <w:sz w:val="20"/>
        <w:szCs w:val="20"/>
        <w:lang w:val="it-IT"/>
      </w:rPr>
      <w:t>11</w:t>
    </w:r>
    <w:r w:rsidR="00893096"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</w:p>
  <w:p w:rsidR="002A2898" w:rsidRPr="007778FE" w:rsidRDefault="002A2898" w:rsidP="004634E3">
    <w:pPr>
      <w:tabs>
        <w:tab w:val="right" w:pos="8640"/>
      </w:tabs>
      <w:rPr>
        <w:i/>
        <w:iCs/>
        <w:sz w:val="20"/>
        <w:szCs w:val="20"/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98" w:rsidRDefault="00893096" w:rsidP="005433CF">
    <w:pPr>
      <w:pStyle w:val="Intestazione"/>
      <w:jc w:val="center"/>
    </w:pPr>
    <w:r w:rsidRPr="00893096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2.5pt;height:128.25pt;visibility:visible">
          <v:imagedata r:id="rId1" o:title=""/>
        </v:shape>
      </w:pict>
    </w:r>
  </w:p>
  <w:p w:rsidR="002A2898" w:rsidRPr="00F30573" w:rsidRDefault="003F01D4" w:rsidP="005433CF">
    <w:pPr>
      <w:pStyle w:val="Intestazione"/>
      <w:jc w:val="center"/>
      <w:rPr>
        <w:lang w:val="bg-BG"/>
      </w:rPr>
    </w:pPr>
    <w:r>
      <w:t>20</w:t>
    </w:r>
    <w:r w:rsidR="0071719E">
      <w:t>20</w:t>
    </w:r>
  </w:p>
  <w:p w:rsidR="002A2898" w:rsidRDefault="002A2898" w:rsidP="005433CF"/>
  <w:p w:rsidR="002A2898" w:rsidRPr="00DE36E5" w:rsidRDefault="002A2898" w:rsidP="00E57EE7">
    <w:pPr>
      <w:pStyle w:val="Intestazione"/>
      <w:jc w:val="center"/>
      <w:rPr>
        <w:rFonts w:ascii="Verdana" w:hAnsi="Verdana" w:cs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612B2"/>
    <w:multiLevelType w:val="hybridMultilevel"/>
    <w:tmpl w:val="BB9CE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FC06E94"/>
    <w:multiLevelType w:val="hybridMultilevel"/>
    <w:tmpl w:val="93744F54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FE77E1"/>
    <w:multiLevelType w:val="hybridMultilevel"/>
    <w:tmpl w:val="7E5E56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"/>
  </w:num>
  <w:num w:numId="5">
    <w:abstractNumId w:val="11"/>
  </w:num>
  <w:num w:numId="6">
    <w:abstractNumId w:val="23"/>
  </w:num>
  <w:num w:numId="7">
    <w:abstractNumId w:val="13"/>
  </w:num>
  <w:num w:numId="8">
    <w:abstractNumId w:val="24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21"/>
  </w:num>
  <w:num w:numId="15">
    <w:abstractNumId w:val="17"/>
  </w:num>
  <w:num w:numId="16">
    <w:abstractNumId w:val="19"/>
  </w:num>
  <w:num w:numId="17">
    <w:abstractNumId w:val="18"/>
  </w:num>
  <w:num w:numId="18">
    <w:abstractNumId w:val="3"/>
  </w:num>
  <w:num w:numId="19">
    <w:abstractNumId w:val="7"/>
  </w:num>
  <w:num w:numId="20">
    <w:abstractNumId w:val="9"/>
  </w:num>
  <w:num w:numId="21">
    <w:abstractNumId w:val="16"/>
  </w:num>
  <w:num w:numId="22">
    <w:abstractNumId w:val="7"/>
  </w:num>
  <w:num w:numId="23">
    <w:abstractNumId w:val="16"/>
  </w:num>
  <w:num w:numId="24">
    <w:abstractNumId w:val="22"/>
  </w:num>
  <w:num w:numId="25">
    <w:abstractNumId w:val="20"/>
  </w:num>
  <w:num w:numId="26">
    <w:abstractNumId w:val="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FC589C"/>
    <w:rsid w:val="00002B0A"/>
    <w:rsid w:val="00002D09"/>
    <w:rsid w:val="00004061"/>
    <w:rsid w:val="0000439F"/>
    <w:rsid w:val="00005B0A"/>
    <w:rsid w:val="00007DE4"/>
    <w:rsid w:val="00010829"/>
    <w:rsid w:val="0001424E"/>
    <w:rsid w:val="00017F97"/>
    <w:rsid w:val="0002328B"/>
    <w:rsid w:val="00024113"/>
    <w:rsid w:val="00025FCB"/>
    <w:rsid w:val="00026F50"/>
    <w:rsid w:val="0003006A"/>
    <w:rsid w:val="0003613E"/>
    <w:rsid w:val="00037EDA"/>
    <w:rsid w:val="000439BC"/>
    <w:rsid w:val="000504CB"/>
    <w:rsid w:val="00052DDC"/>
    <w:rsid w:val="000574F3"/>
    <w:rsid w:val="00057BF9"/>
    <w:rsid w:val="00062CAD"/>
    <w:rsid w:val="000650F1"/>
    <w:rsid w:val="0006539C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924B6"/>
    <w:rsid w:val="00094CB3"/>
    <w:rsid w:val="00094D6E"/>
    <w:rsid w:val="0009745D"/>
    <w:rsid w:val="000A44AC"/>
    <w:rsid w:val="000A7BEA"/>
    <w:rsid w:val="000B07F5"/>
    <w:rsid w:val="000B288F"/>
    <w:rsid w:val="000B3515"/>
    <w:rsid w:val="000B553D"/>
    <w:rsid w:val="000B7AFD"/>
    <w:rsid w:val="000C0D91"/>
    <w:rsid w:val="000C2110"/>
    <w:rsid w:val="000C53FD"/>
    <w:rsid w:val="000C61B5"/>
    <w:rsid w:val="000C79EF"/>
    <w:rsid w:val="000D142C"/>
    <w:rsid w:val="000D27AD"/>
    <w:rsid w:val="000D34D8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49E"/>
    <w:rsid w:val="000F7BBD"/>
    <w:rsid w:val="00100745"/>
    <w:rsid w:val="00100E5C"/>
    <w:rsid w:val="00103730"/>
    <w:rsid w:val="0010581D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4B52"/>
    <w:rsid w:val="00135C42"/>
    <w:rsid w:val="00142F5D"/>
    <w:rsid w:val="00147691"/>
    <w:rsid w:val="00152300"/>
    <w:rsid w:val="00152D0D"/>
    <w:rsid w:val="00153E14"/>
    <w:rsid w:val="001559D1"/>
    <w:rsid w:val="00162B71"/>
    <w:rsid w:val="00170B74"/>
    <w:rsid w:val="001728BB"/>
    <w:rsid w:val="001740B9"/>
    <w:rsid w:val="00184CC8"/>
    <w:rsid w:val="001852B7"/>
    <w:rsid w:val="001854F3"/>
    <w:rsid w:val="0018739C"/>
    <w:rsid w:val="0018797B"/>
    <w:rsid w:val="0019057E"/>
    <w:rsid w:val="00191D37"/>
    <w:rsid w:val="001945AD"/>
    <w:rsid w:val="001A1EC2"/>
    <w:rsid w:val="001A4400"/>
    <w:rsid w:val="001A4CF3"/>
    <w:rsid w:val="001A53BF"/>
    <w:rsid w:val="001A591D"/>
    <w:rsid w:val="001B5CF5"/>
    <w:rsid w:val="001B5E3D"/>
    <w:rsid w:val="001B6BFD"/>
    <w:rsid w:val="001B78EE"/>
    <w:rsid w:val="001B7E64"/>
    <w:rsid w:val="001C1A58"/>
    <w:rsid w:val="001C31EE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709D"/>
    <w:rsid w:val="002079FD"/>
    <w:rsid w:val="0021322B"/>
    <w:rsid w:val="00214A8A"/>
    <w:rsid w:val="00216037"/>
    <w:rsid w:val="002160A7"/>
    <w:rsid w:val="002162E4"/>
    <w:rsid w:val="00217044"/>
    <w:rsid w:val="00220ECB"/>
    <w:rsid w:val="00222593"/>
    <w:rsid w:val="0022267B"/>
    <w:rsid w:val="00223B11"/>
    <w:rsid w:val="002317F1"/>
    <w:rsid w:val="00231A52"/>
    <w:rsid w:val="00231D48"/>
    <w:rsid w:val="0023213E"/>
    <w:rsid w:val="00241B1B"/>
    <w:rsid w:val="00246196"/>
    <w:rsid w:val="002464C0"/>
    <w:rsid w:val="00246DA0"/>
    <w:rsid w:val="0024789A"/>
    <w:rsid w:val="002510C9"/>
    <w:rsid w:val="00251609"/>
    <w:rsid w:val="002523E5"/>
    <w:rsid w:val="0025249C"/>
    <w:rsid w:val="00252B73"/>
    <w:rsid w:val="002570C0"/>
    <w:rsid w:val="0026402D"/>
    <w:rsid w:val="00271287"/>
    <w:rsid w:val="00272B65"/>
    <w:rsid w:val="0027700C"/>
    <w:rsid w:val="0028023B"/>
    <w:rsid w:val="00284A8A"/>
    <w:rsid w:val="00287584"/>
    <w:rsid w:val="0029079E"/>
    <w:rsid w:val="00290921"/>
    <w:rsid w:val="00292C38"/>
    <w:rsid w:val="00297CFB"/>
    <w:rsid w:val="002A0F6E"/>
    <w:rsid w:val="002A1557"/>
    <w:rsid w:val="002A2898"/>
    <w:rsid w:val="002A4238"/>
    <w:rsid w:val="002A7B6F"/>
    <w:rsid w:val="002B0BAA"/>
    <w:rsid w:val="002B0CE5"/>
    <w:rsid w:val="002B31F7"/>
    <w:rsid w:val="002B50F3"/>
    <w:rsid w:val="002B56E4"/>
    <w:rsid w:val="002B7670"/>
    <w:rsid w:val="002C27ED"/>
    <w:rsid w:val="002C4FA6"/>
    <w:rsid w:val="002C7A8D"/>
    <w:rsid w:val="002D1F11"/>
    <w:rsid w:val="002D33CF"/>
    <w:rsid w:val="002D3E51"/>
    <w:rsid w:val="002D3FE3"/>
    <w:rsid w:val="002D410E"/>
    <w:rsid w:val="002D4621"/>
    <w:rsid w:val="002E1170"/>
    <w:rsid w:val="002E7B34"/>
    <w:rsid w:val="002F4301"/>
    <w:rsid w:val="002F4F09"/>
    <w:rsid w:val="002F5E5F"/>
    <w:rsid w:val="002F702D"/>
    <w:rsid w:val="002F728F"/>
    <w:rsid w:val="00302714"/>
    <w:rsid w:val="0030388A"/>
    <w:rsid w:val="00305B63"/>
    <w:rsid w:val="0030688C"/>
    <w:rsid w:val="00306E93"/>
    <w:rsid w:val="00307C74"/>
    <w:rsid w:val="003137A2"/>
    <w:rsid w:val="00313BC5"/>
    <w:rsid w:val="0032029D"/>
    <w:rsid w:val="0032152C"/>
    <w:rsid w:val="003229F9"/>
    <w:rsid w:val="00326225"/>
    <w:rsid w:val="003353B2"/>
    <w:rsid w:val="003377EF"/>
    <w:rsid w:val="00337FBD"/>
    <w:rsid w:val="00343B3F"/>
    <w:rsid w:val="00344F22"/>
    <w:rsid w:val="003451D5"/>
    <w:rsid w:val="00347625"/>
    <w:rsid w:val="00350555"/>
    <w:rsid w:val="003515A6"/>
    <w:rsid w:val="003537C3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C7E"/>
    <w:rsid w:val="00380DA5"/>
    <w:rsid w:val="00382AFA"/>
    <w:rsid w:val="003832F6"/>
    <w:rsid w:val="00383FA7"/>
    <w:rsid w:val="00385691"/>
    <w:rsid w:val="003922F0"/>
    <w:rsid w:val="00393303"/>
    <w:rsid w:val="00395E75"/>
    <w:rsid w:val="00396896"/>
    <w:rsid w:val="003A02BF"/>
    <w:rsid w:val="003A0C81"/>
    <w:rsid w:val="003A1AE1"/>
    <w:rsid w:val="003B3057"/>
    <w:rsid w:val="003C0275"/>
    <w:rsid w:val="003C082D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938"/>
    <w:rsid w:val="003E58D9"/>
    <w:rsid w:val="003E6AC7"/>
    <w:rsid w:val="003F0105"/>
    <w:rsid w:val="003F01D4"/>
    <w:rsid w:val="003F064C"/>
    <w:rsid w:val="003F13C1"/>
    <w:rsid w:val="003F1B59"/>
    <w:rsid w:val="003F240C"/>
    <w:rsid w:val="003F3DFF"/>
    <w:rsid w:val="00402485"/>
    <w:rsid w:val="00402637"/>
    <w:rsid w:val="004075C6"/>
    <w:rsid w:val="0041205E"/>
    <w:rsid w:val="00413E25"/>
    <w:rsid w:val="0041497F"/>
    <w:rsid w:val="004158E5"/>
    <w:rsid w:val="00415C83"/>
    <w:rsid w:val="004168A9"/>
    <w:rsid w:val="00420431"/>
    <w:rsid w:val="00422464"/>
    <w:rsid w:val="00423E80"/>
    <w:rsid w:val="00424A7F"/>
    <w:rsid w:val="00430DA6"/>
    <w:rsid w:val="00430F5B"/>
    <w:rsid w:val="00431286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56420"/>
    <w:rsid w:val="00462EA5"/>
    <w:rsid w:val="004634E3"/>
    <w:rsid w:val="0046413E"/>
    <w:rsid w:val="004701F1"/>
    <w:rsid w:val="004763E4"/>
    <w:rsid w:val="004817AD"/>
    <w:rsid w:val="00482B42"/>
    <w:rsid w:val="00483971"/>
    <w:rsid w:val="00485136"/>
    <w:rsid w:val="00485510"/>
    <w:rsid w:val="00485724"/>
    <w:rsid w:val="00490D07"/>
    <w:rsid w:val="004929BC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3FDF"/>
    <w:rsid w:val="004B64DF"/>
    <w:rsid w:val="004B6B6A"/>
    <w:rsid w:val="004B6FDC"/>
    <w:rsid w:val="004C07C9"/>
    <w:rsid w:val="004C3539"/>
    <w:rsid w:val="004C524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519C"/>
    <w:rsid w:val="004F572E"/>
    <w:rsid w:val="00505C32"/>
    <w:rsid w:val="005067DF"/>
    <w:rsid w:val="00507791"/>
    <w:rsid w:val="0051374B"/>
    <w:rsid w:val="005146E3"/>
    <w:rsid w:val="00515D82"/>
    <w:rsid w:val="0052368F"/>
    <w:rsid w:val="00524C86"/>
    <w:rsid w:val="00535D18"/>
    <w:rsid w:val="00536CA7"/>
    <w:rsid w:val="005415FD"/>
    <w:rsid w:val="005433CF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91217"/>
    <w:rsid w:val="00594520"/>
    <w:rsid w:val="00595BCF"/>
    <w:rsid w:val="00596C72"/>
    <w:rsid w:val="005A0271"/>
    <w:rsid w:val="005A0DB0"/>
    <w:rsid w:val="005A3325"/>
    <w:rsid w:val="005A3701"/>
    <w:rsid w:val="005A58EF"/>
    <w:rsid w:val="005A7F48"/>
    <w:rsid w:val="005B0EC2"/>
    <w:rsid w:val="005B239A"/>
    <w:rsid w:val="005B5C9A"/>
    <w:rsid w:val="005B6DD2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0A22"/>
    <w:rsid w:val="006017DA"/>
    <w:rsid w:val="00602B75"/>
    <w:rsid w:val="00602D81"/>
    <w:rsid w:val="006030D3"/>
    <w:rsid w:val="0060343A"/>
    <w:rsid w:val="00603596"/>
    <w:rsid w:val="0060381A"/>
    <w:rsid w:val="00605939"/>
    <w:rsid w:val="00605C8A"/>
    <w:rsid w:val="00606942"/>
    <w:rsid w:val="00607032"/>
    <w:rsid w:val="00610E34"/>
    <w:rsid w:val="006117CC"/>
    <w:rsid w:val="006122B5"/>
    <w:rsid w:val="00613617"/>
    <w:rsid w:val="00614601"/>
    <w:rsid w:val="00621811"/>
    <w:rsid w:val="00622B96"/>
    <w:rsid w:val="00622EDC"/>
    <w:rsid w:val="0064006D"/>
    <w:rsid w:val="006433ED"/>
    <w:rsid w:val="00647BB4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6FE0"/>
    <w:rsid w:val="0067026C"/>
    <w:rsid w:val="00670DAA"/>
    <w:rsid w:val="00676D65"/>
    <w:rsid w:val="006774B0"/>
    <w:rsid w:val="00681D2D"/>
    <w:rsid w:val="00684642"/>
    <w:rsid w:val="00684B08"/>
    <w:rsid w:val="00685933"/>
    <w:rsid w:val="00686401"/>
    <w:rsid w:val="00687A63"/>
    <w:rsid w:val="00691042"/>
    <w:rsid w:val="006935DE"/>
    <w:rsid w:val="006A11A0"/>
    <w:rsid w:val="006A3428"/>
    <w:rsid w:val="006A34B8"/>
    <w:rsid w:val="006A4A54"/>
    <w:rsid w:val="006A590F"/>
    <w:rsid w:val="006A6387"/>
    <w:rsid w:val="006A67FC"/>
    <w:rsid w:val="006B0212"/>
    <w:rsid w:val="006B326A"/>
    <w:rsid w:val="006B565D"/>
    <w:rsid w:val="006C0E11"/>
    <w:rsid w:val="006C1BCE"/>
    <w:rsid w:val="006D42E6"/>
    <w:rsid w:val="006D78F9"/>
    <w:rsid w:val="006E013E"/>
    <w:rsid w:val="006E078F"/>
    <w:rsid w:val="006E1DDE"/>
    <w:rsid w:val="006E4654"/>
    <w:rsid w:val="006F009C"/>
    <w:rsid w:val="006F30A3"/>
    <w:rsid w:val="006F52FC"/>
    <w:rsid w:val="007028F7"/>
    <w:rsid w:val="00702D5E"/>
    <w:rsid w:val="00702F5A"/>
    <w:rsid w:val="00705173"/>
    <w:rsid w:val="00705DD2"/>
    <w:rsid w:val="00706A40"/>
    <w:rsid w:val="0071206C"/>
    <w:rsid w:val="007134E4"/>
    <w:rsid w:val="00716622"/>
    <w:rsid w:val="0071719E"/>
    <w:rsid w:val="007172E8"/>
    <w:rsid w:val="007173E8"/>
    <w:rsid w:val="00717C00"/>
    <w:rsid w:val="00723CF0"/>
    <w:rsid w:val="00726D65"/>
    <w:rsid w:val="00727320"/>
    <w:rsid w:val="007322F3"/>
    <w:rsid w:val="00732CD2"/>
    <w:rsid w:val="007372B0"/>
    <w:rsid w:val="00740A91"/>
    <w:rsid w:val="007434A8"/>
    <w:rsid w:val="0074401E"/>
    <w:rsid w:val="007452CD"/>
    <w:rsid w:val="00745AC1"/>
    <w:rsid w:val="00753CB8"/>
    <w:rsid w:val="00760AB5"/>
    <w:rsid w:val="00760CDC"/>
    <w:rsid w:val="007668EE"/>
    <w:rsid w:val="007671C6"/>
    <w:rsid w:val="00770534"/>
    <w:rsid w:val="00770802"/>
    <w:rsid w:val="00771436"/>
    <w:rsid w:val="007734E1"/>
    <w:rsid w:val="00774DE8"/>
    <w:rsid w:val="007751B0"/>
    <w:rsid w:val="00776102"/>
    <w:rsid w:val="00776DC0"/>
    <w:rsid w:val="007778FE"/>
    <w:rsid w:val="00781C5B"/>
    <w:rsid w:val="00783502"/>
    <w:rsid w:val="00791922"/>
    <w:rsid w:val="007933FA"/>
    <w:rsid w:val="00793429"/>
    <w:rsid w:val="00793CAE"/>
    <w:rsid w:val="007A2CAC"/>
    <w:rsid w:val="007A4753"/>
    <w:rsid w:val="007A5139"/>
    <w:rsid w:val="007A551F"/>
    <w:rsid w:val="007A55BB"/>
    <w:rsid w:val="007A6726"/>
    <w:rsid w:val="007A7871"/>
    <w:rsid w:val="007A7C55"/>
    <w:rsid w:val="007B267C"/>
    <w:rsid w:val="007B40CD"/>
    <w:rsid w:val="007B4F5F"/>
    <w:rsid w:val="007B60E6"/>
    <w:rsid w:val="007C1538"/>
    <w:rsid w:val="007D044E"/>
    <w:rsid w:val="007D0E94"/>
    <w:rsid w:val="007D2B2A"/>
    <w:rsid w:val="007D33DE"/>
    <w:rsid w:val="007D4424"/>
    <w:rsid w:val="007E6035"/>
    <w:rsid w:val="007E706B"/>
    <w:rsid w:val="007F022C"/>
    <w:rsid w:val="007F07AB"/>
    <w:rsid w:val="007F7616"/>
    <w:rsid w:val="00802FB7"/>
    <w:rsid w:val="00804250"/>
    <w:rsid w:val="00807C55"/>
    <w:rsid w:val="008160A6"/>
    <w:rsid w:val="008275DE"/>
    <w:rsid w:val="00832C80"/>
    <w:rsid w:val="008344BE"/>
    <w:rsid w:val="00834615"/>
    <w:rsid w:val="008400E8"/>
    <w:rsid w:val="00845B09"/>
    <w:rsid w:val="00846BB3"/>
    <w:rsid w:val="00852780"/>
    <w:rsid w:val="00853E1E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7196E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096"/>
    <w:rsid w:val="008931D7"/>
    <w:rsid w:val="00893534"/>
    <w:rsid w:val="008962C8"/>
    <w:rsid w:val="008A1771"/>
    <w:rsid w:val="008A6FAD"/>
    <w:rsid w:val="008A7D03"/>
    <w:rsid w:val="008B02EC"/>
    <w:rsid w:val="008B037A"/>
    <w:rsid w:val="008B263A"/>
    <w:rsid w:val="008B6C34"/>
    <w:rsid w:val="008B713F"/>
    <w:rsid w:val="008C05C9"/>
    <w:rsid w:val="008C23EE"/>
    <w:rsid w:val="008C409D"/>
    <w:rsid w:val="008C6D51"/>
    <w:rsid w:val="008D2C6B"/>
    <w:rsid w:val="008D45A3"/>
    <w:rsid w:val="008D4EF0"/>
    <w:rsid w:val="008E051D"/>
    <w:rsid w:val="008E09D8"/>
    <w:rsid w:val="008E0AFD"/>
    <w:rsid w:val="008E2945"/>
    <w:rsid w:val="008E3A94"/>
    <w:rsid w:val="008E4DB1"/>
    <w:rsid w:val="008E5DB6"/>
    <w:rsid w:val="008E762A"/>
    <w:rsid w:val="008E76C2"/>
    <w:rsid w:val="008F225B"/>
    <w:rsid w:val="008F2ADD"/>
    <w:rsid w:val="008F5506"/>
    <w:rsid w:val="008F6A9A"/>
    <w:rsid w:val="00900694"/>
    <w:rsid w:val="00901A4F"/>
    <w:rsid w:val="00901E2B"/>
    <w:rsid w:val="00904A17"/>
    <w:rsid w:val="00912AEB"/>
    <w:rsid w:val="00914DDF"/>
    <w:rsid w:val="0091643E"/>
    <w:rsid w:val="00920820"/>
    <w:rsid w:val="00922E2D"/>
    <w:rsid w:val="00930317"/>
    <w:rsid w:val="0093048F"/>
    <w:rsid w:val="00932298"/>
    <w:rsid w:val="0093472E"/>
    <w:rsid w:val="009431A8"/>
    <w:rsid w:val="009433AE"/>
    <w:rsid w:val="00944CF3"/>
    <w:rsid w:val="00944E01"/>
    <w:rsid w:val="00947F0C"/>
    <w:rsid w:val="009506F6"/>
    <w:rsid w:val="0095452C"/>
    <w:rsid w:val="00957718"/>
    <w:rsid w:val="00960634"/>
    <w:rsid w:val="009636F7"/>
    <w:rsid w:val="00964BEF"/>
    <w:rsid w:val="00967B7E"/>
    <w:rsid w:val="009711F9"/>
    <w:rsid w:val="009739AB"/>
    <w:rsid w:val="00974C95"/>
    <w:rsid w:val="00974EAD"/>
    <w:rsid w:val="00976688"/>
    <w:rsid w:val="00976D5C"/>
    <w:rsid w:val="00976FAF"/>
    <w:rsid w:val="00981F88"/>
    <w:rsid w:val="00983508"/>
    <w:rsid w:val="00984959"/>
    <w:rsid w:val="00984F9F"/>
    <w:rsid w:val="009855E1"/>
    <w:rsid w:val="00985B8F"/>
    <w:rsid w:val="009876F0"/>
    <w:rsid w:val="00990874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527E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83D"/>
    <w:rsid w:val="009F3DF3"/>
    <w:rsid w:val="009F5532"/>
    <w:rsid w:val="009F7F29"/>
    <w:rsid w:val="00A057E9"/>
    <w:rsid w:val="00A06BF6"/>
    <w:rsid w:val="00A13194"/>
    <w:rsid w:val="00A21CF7"/>
    <w:rsid w:val="00A244C6"/>
    <w:rsid w:val="00A24A92"/>
    <w:rsid w:val="00A26ED1"/>
    <w:rsid w:val="00A3269B"/>
    <w:rsid w:val="00A32A8F"/>
    <w:rsid w:val="00A353BD"/>
    <w:rsid w:val="00A3725A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7328"/>
    <w:rsid w:val="00A80A01"/>
    <w:rsid w:val="00A811E5"/>
    <w:rsid w:val="00A81639"/>
    <w:rsid w:val="00A85A3E"/>
    <w:rsid w:val="00A86212"/>
    <w:rsid w:val="00A90F4D"/>
    <w:rsid w:val="00A9119D"/>
    <w:rsid w:val="00A950DA"/>
    <w:rsid w:val="00A96370"/>
    <w:rsid w:val="00A968EF"/>
    <w:rsid w:val="00A96F03"/>
    <w:rsid w:val="00A977CE"/>
    <w:rsid w:val="00AA3760"/>
    <w:rsid w:val="00AA407E"/>
    <w:rsid w:val="00AA769C"/>
    <w:rsid w:val="00AB1367"/>
    <w:rsid w:val="00AB3A41"/>
    <w:rsid w:val="00AB7DA9"/>
    <w:rsid w:val="00AC2E70"/>
    <w:rsid w:val="00AC4596"/>
    <w:rsid w:val="00AC4AA9"/>
    <w:rsid w:val="00AC58E9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6091"/>
    <w:rsid w:val="00AE7141"/>
    <w:rsid w:val="00AE74B2"/>
    <w:rsid w:val="00AE77DE"/>
    <w:rsid w:val="00AE7D9A"/>
    <w:rsid w:val="00AF059C"/>
    <w:rsid w:val="00AF4693"/>
    <w:rsid w:val="00AF699E"/>
    <w:rsid w:val="00B00470"/>
    <w:rsid w:val="00B00BEB"/>
    <w:rsid w:val="00B02101"/>
    <w:rsid w:val="00B04AD6"/>
    <w:rsid w:val="00B11D2C"/>
    <w:rsid w:val="00B15B99"/>
    <w:rsid w:val="00B1630E"/>
    <w:rsid w:val="00B17AE9"/>
    <w:rsid w:val="00B21782"/>
    <w:rsid w:val="00B2188D"/>
    <w:rsid w:val="00B26FC2"/>
    <w:rsid w:val="00B30234"/>
    <w:rsid w:val="00B34C79"/>
    <w:rsid w:val="00B3714C"/>
    <w:rsid w:val="00B4293C"/>
    <w:rsid w:val="00B4650C"/>
    <w:rsid w:val="00B47515"/>
    <w:rsid w:val="00B50493"/>
    <w:rsid w:val="00B5108F"/>
    <w:rsid w:val="00B5134A"/>
    <w:rsid w:val="00B5439C"/>
    <w:rsid w:val="00B61782"/>
    <w:rsid w:val="00B64A6D"/>
    <w:rsid w:val="00B66CBA"/>
    <w:rsid w:val="00B72280"/>
    <w:rsid w:val="00B74400"/>
    <w:rsid w:val="00B76089"/>
    <w:rsid w:val="00B83205"/>
    <w:rsid w:val="00B84A49"/>
    <w:rsid w:val="00B86E20"/>
    <w:rsid w:val="00B94308"/>
    <w:rsid w:val="00BA7C48"/>
    <w:rsid w:val="00BB54A1"/>
    <w:rsid w:val="00BB69C3"/>
    <w:rsid w:val="00BB7FAC"/>
    <w:rsid w:val="00BC7FC6"/>
    <w:rsid w:val="00BD07D6"/>
    <w:rsid w:val="00BD4C03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03A0"/>
    <w:rsid w:val="00C543FB"/>
    <w:rsid w:val="00C54F55"/>
    <w:rsid w:val="00C55146"/>
    <w:rsid w:val="00C552CC"/>
    <w:rsid w:val="00C55E56"/>
    <w:rsid w:val="00C56A91"/>
    <w:rsid w:val="00C56F9A"/>
    <w:rsid w:val="00C66EA2"/>
    <w:rsid w:val="00C70B4A"/>
    <w:rsid w:val="00C802FD"/>
    <w:rsid w:val="00C82778"/>
    <w:rsid w:val="00C85559"/>
    <w:rsid w:val="00C93107"/>
    <w:rsid w:val="00C96EBC"/>
    <w:rsid w:val="00CA16A9"/>
    <w:rsid w:val="00CA7B1D"/>
    <w:rsid w:val="00CB1C14"/>
    <w:rsid w:val="00CB4504"/>
    <w:rsid w:val="00CB5B77"/>
    <w:rsid w:val="00CB662D"/>
    <w:rsid w:val="00CB6AFC"/>
    <w:rsid w:val="00CC3253"/>
    <w:rsid w:val="00CC5C16"/>
    <w:rsid w:val="00CC624F"/>
    <w:rsid w:val="00CC64DA"/>
    <w:rsid w:val="00CD1C0C"/>
    <w:rsid w:val="00CD4675"/>
    <w:rsid w:val="00CD6C52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10813"/>
    <w:rsid w:val="00D119B6"/>
    <w:rsid w:val="00D11D14"/>
    <w:rsid w:val="00D13C35"/>
    <w:rsid w:val="00D14342"/>
    <w:rsid w:val="00D15693"/>
    <w:rsid w:val="00D15B8F"/>
    <w:rsid w:val="00D17083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2F54"/>
    <w:rsid w:val="00D547B3"/>
    <w:rsid w:val="00D555CD"/>
    <w:rsid w:val="00D5591B"/>
    <w:rsid w:val="00D567DA"/>
    <w:rsid w:val="00D56D28"/>
    <w:rsid w:val="00D61338"/>
    <w:rsid w:val="00D62B1E"/>
    <w:rsid w:val="00D631A1"/>
    <w:rsid w:val="00D642BA"/>
    <w:rsid w:val="00D66862"/>
    <w:rsid w:val="00D7001F"/>
    <w:rsid w:val="00D703F6"/>
    <w:rsid w:val="00D7135F"/>
    <w:rsid w:val="00D80F82"/>
    <w:rsid w:val="00D81901"/>
    <w:rsid w:val="00D8209F"/>
    <w:rsid w:val="00D85B28"/>
    <w:rsid w:val="00D90032"/>
    <w:rsid w:val="00D902AE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E66"/>
    <w:rsid w:val="00DB1264"/>
    <w:rsid w:val="00DB32C5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4985"/>
    <w:rsid w:val="00E079EC"/>
    <w:rsid w:val="00E1014D"/>
    <w:rsid w:val="00E102A7"/>
    <w:rsid w:val="00E103E9"/>
    <w:rsid w:val="00E13C4A"/>
    <w:rsid w:val="00E14A34"/>
    <w:rsid w:val="00E14FC7"/>
    <w:rsid w:val="00E1556F"/>
    <w:rsid w:val="00E236F8"/>
    <w:rsid w:val="00E24103"/>
    <w:rsid w:val="00E24F9A"/>
    <w:rsid w:val="00E30B30"/>
    <w:rsid w:val="00E3303C"/>
    <w:rsid w:val="00E33C2F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71882"/>
    <w:rsid w:val="00E74EB4"/>
    <w:rsid w:val="00E8404E"/>
    <w:rsid w:val="00E87C04"/>
    <w:rsid w:val="00E91545"/>
    <w:rsid w:val="00E919A6"/>
    <w:rsid w:val="00E91A63"/>
    <w:rsid w:val="00E94419"/>
    <w:rsid w:val="00E962BA"/>
    <w:rsid w:val="00E9747C"/>
    <w:rsid w:val="00E977CF"/>
    <w:rsid w:val="00E97D7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38B1"/>
    <w:rsid w:val="00EC5594"/>
    <w:rsid w:val="00ED08DA"/>
    <w:rsid w:val="00ED31E1"/>
    <w:rsid w:val="00ED3A46"/>
    <w:rsid w:val="00ED4894"/>
    <w:rsid w:val="00ED59B4"/>
    <w:rsid w:val="00ED5CA8"/>
    <w:rsid w:val="00ED7985"/>
    <w:rsid w:val="00EE080B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2C37"/>
    <w:rsid w:val="00EF3A12"/>
    <w:rsid w:val="00EF4AAF"/>
    <w:rsid w:val="00F008AA"/>
    <w:rsid w:val="00F00F1F"/>
    <w:rsid w:val="00F01A18"/>
    <w:rsid w:val="00F04B83"/>
    <w:rsid w:val="00F06131"/>
    <w:rsid w:val="00F07C24"/>
    <w:rsid w:val="00F11A09"/>
    <w:rsid w:val="00F14D07"/>
    <w:rsid w:val="00F1762F"/>
    <w:rsid w:val="00F2285D"/>
    <w:rsid w:val="00F26562"/>
    <w:rsid w:val="00F278BB"/>
    <w:rsid w:val="00F30573"/>
    <w:rsid w:val="00F31B4B"/>
    <w:rsid w:val="00F32625"/>
    <w:rsid w:val="00F33EE0"/>
    <w:rsid w:val="00F34AEE"/>
    <w:rsid w:val="00F35EA0"/>
    <w:rsid w:val="00F367FE"/>
    <w:rsid w:val="00F4189B"/>
    <w:rsid w:val="00F41B1A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8741C"/>
    <w:rsid w:val="00F91530"/>
    <w:rsid w:val="00F9289B"/>
    <w:rsid w:val="00F9634D"/>
    <w:rsid w:val="00FA2CC8"/>
    <w:rsid w:val="00FA5083"/>
    <w:rsid w:val="00FA78AA"/>
    <w:rsid w:val="00FB0138"/>
    <w:rsid w:val="00FB099D"/>
    <w:rsid w:val="00FB0AE6"/>
    <w:rsid w:val="00FB10ED"/>
    <w:rsid w:val="00FB4C3E"/>
    <w:rsid w:val="00FB77F0"/>
    <w:rsid w:val="00FB7C72"/>
    <w:rsid w:val="00FC56E4"/>
    <w:rsid w:val="00FC589C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1177"/>
    <w:rsid w:val="00FF56DF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69E"/>
    <w:rPr>
      <w:sz w:val="24"/>
      <w:szCs w:val="24"/>
      <w:lang w:val="en-US"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076BDD"/>
    <w:pPr>
      <w:outlineLvl w:val="0"/>
    </w:pPr>
    <w:rPr>
      <w:b/>
      <w:bCs/>
      <w:color w:val="FFCC00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076BDD"/>
    <w:pPr>
      <w:outlineLvl w:val="1"/>
    </w:pPr>
    <w:rPr>
      <w:b/>
      <w:bCs/>
      <w:color w:val="00CC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F56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DF56D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ommario2">
    <w:name w:val="toc 2"/>
    <w:basedOn w:val="Default"/>
    <w:next w:val="Default"/>
    <w:autoRedefine/>
    <w:uiPriority w:val="99"/>
    <w:semiHidden/>
    <w:rsid w:val="00076BDD"/>
    <w:pPr>
      <w:tabs>
        <w:tab w:val="right" w:leader="dot" w:pos="8630"/>
      </w:tabs>
    </w:pPr>
    <w:rPr>
      <w:color w:val="auto"/>
    </w:rPr>
  </w:style>
  <w:style w:type="character" w:styleId="Collegamentoipertestuale">
    <w:name w:val="Hyperlink"/>
    <w:uiPriority w:val="99"/>
    <w:rsid w:val="005646B3"/>
    <w:rPr>
      <w:color w:val="000000"/>
    </w:rPr>
  </w:style>
  <w:style w:type="paragraph" w:styleId="Sommario1">
    <w:name w:val="toc 1"/>
    <w:basedOn w:val="Default"/>
    <w:next w:val="Default"/>
    <w:autoRedefine/>
    <w:uiPriority w:val="99"/>
    <w:semiHidden/>
    <w:rsid w:val="005646B3"/>
    <w:rPr>
      <w:color w:val="auto"/>
    </w:rPr>
  </w:style>
  <w:style w:type="character" w:styleId="Rimandonotaapidipagina">
    <w:name w:val="footnote reference"/>
    <w:uiPriority w:val="99"/>
    <w:semiHidden/>
    <w:rsid w:val="005646B3"/>
    <w:rPr>
      <w:color w:val="000000"/>
    </w:rPr>
  </w:style>
  <w:style w:type="paragraph" w:styleId="Rientrocorpodeltesto3">
    <w:name w:val="Body Text Indent 3"/>
    <w:basedOn w:val="Default"/>
    <w:next w:val="Default"/>
    <w:link w:val="Rientrocorpodeltesto3Carattere"/>
    <w:uiPriority w:val="99"/>
    <w:rsid w:val="005646B3"/>
    <w:pPr>
      <w:spacing w:before="60" w:after="60"/>
    </w:pPr>
    <w:rPr>
      <w:color w:val="auto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F56DB"/>
    <w:rPr>
      <w:sz w:val="16"/>
      <w:szCs w:val="1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646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56DB"/>
    <w:rPr>
      <w:sz w:val="0"/>
      <w:szCs w:val="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locked/>
    <w:rsid w:val="005433C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F56DB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rsid w:val="004634E3"/>
  </w:style>
  <w:style w:type="character" w:styleId="Enfasigrassetto">
    <w:name w:val="Strong"/>
    <w:uiPriority w:val="99"/>
    <w:qFormat/>
    <w:rsid w:val="004B1FA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C64D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F56DB"/>
    <w:rPr>
      <w:sz w:val="20"/>
      <w:szCs w:val="20"/>
      <w:lang w:val="en-US" w:eastAsia="en-US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szCs w:val="18"/>
      <w:vertAlign w:val="superscript"/>
    </w:rPr>
  </w:style>
  <w:style w:type="character" w:styleId="Rimandocommento">
    <w:name w:val="annotation reference"/>
    <w:uiPriority w:val="99"/>
    <w:semiHidden/>
    <w:rsid w:val="00777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778F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778FE"/>
    <w:rPr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2E1170"/>
    <w:pPr>
      <w:ind w:left="720"/>
    </w:pPr>
    <w:rPr>
      <w:rFonts w:ascii="Calibri" w:hAnsi="Calibri" w:cs="Calibri"/>
      <w:sz w:val="22"/>
      <w:szCs w:val="22"/>
      <w:lang w:val="en-GB"/>
    </w:rPr>
  </w:style>
  <w:style w:type="paragraph" w:styleId="Paragrafoelenco">
    <w:name w:val="List Paragraph"/>
    <w:basedOn w:val="Normale"/>
    <w:uiPriority w:val="99"/>
    <w:qFormat/>
    <w:rsid w:val="002E1170"/>
    <w:pPr>
      <w:ind w:left="720"/>
    </w:pPr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enterprise/policies/sme/best-practices/european-enterprise-awards/2012/index_e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.garrott@loweurop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2881</Words>
  <Characters>18599</Characters>
  <Application>Microsoft Office Word</Application>
  <DocSecurity>4</DocSecurity>
  <Lines>154</Lines>
  <Paragraphs>42</Paragraphs>
  <ScaleCrop>false</ScaleCrop>
  <Company>PRACSIS</Company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guest</cp:lastModifiedBy>
  <cp:revision>2</cp:revision>
  <cp:lastPrinted>2012-02-08T10:45:00Z</cp:lastPrinted>
  <dcterms:created xsi:type="dcterms:W3CDTF">2020-05-19T09:28:00Z</dcterms:created>
  <dcterms:modified xsi:type="dcterms:W3CDTF">2020-05-19T09:28:00Z</dcterms:modified>
</cp:coreProperties>
</file>