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9189E8" w14:textId="33C5122B" w:rsidR="009A7D68" w:rsidRDefault="009A7D68" w:rsidP="009A7D68">
      <w:pPr>
        <w:spacing w:after="200" w:line="276" w:lineRule="auto"/>
        <w:jc w:val="center"/>
        <w:outlineLvl w:val="0"/>
        <w:rPr>
          <w:rFonts w:eastAsia="Arial Unicode MS" w:hAnsi="Arial Unicode MS"/>
          <w:b/>
          <w:smallCaps/>
          <w:color w:val="000000"/>
          <w:sz w:val="22"/>
          <w:u w:val="single" w:color="000000"/>
          <w:lang w:val="it-IT"/>
        </w:rPr>
      </w:pPr>
      <w:r>
        <w:rPr>
          <w:rFonts w:eastAsia="Arial Unicode MS" w:hAnsi="Arial Unicode MS"/>
          <w:b/>
          <w:smallCaps/>
          <w:color w:val="000000"/>
          <w:sz w:val="22"/>
          <w:u w:val="single" w:color="000000"/>
          <w:lang w:val="it-IT"/>
        </w:rPr>
        <w:t xml:space="preserve">Allegato </w:t>
      </w:r>
      <w:r w:rsidR="00CA6844">
        <w:rPr>
          <w:rFonts w:eastAsia="Arial Unicode MS" w:hAnsi="Arial Unicode MS"/>
          <w:b/>
          <w:smallCaps/>
          <w:color w:val="000000"/>
          <w:sz w:val="22"/>
          <w:u w:val="single" w:color="000000"/>
          <w:lang w:val="it-IT"/>
        </w:rPr>
        <w:t>4</w:t>
      </w:r>
    </w:p>
    <w:p w14:paraId="03CF0D9E" w14:textId="108C9E58" w:rsidR="00041696" w:rsidRDefault="00236E89" w:rsidP="0059620E">
      <w:pPr>
        <w:spacing w:after="200" w:line="276" w:lineRule="auto"/>
        <w:jc w:val="center"/>
        <w:outlineLvl w:val="0"/>
        <w:rPr>
          <w:rFonts w:eastAsia="Arial Unicode MS" w:hAnsi="Arial Unicode MS"/>
          <w:b/>
          <w:smallCaps/>
          <w:color w:val="000000"/>
          <w:sz w:val="22"/>
          <w:u w:val="single" w:color="000000"/>
          <w:lang w:val="it-IT"/>
        </w:rPr>
      </w:pPr>
      <w:r w:rsidRPr="00BE36BB">
        <w:rPr>
          <w:rFonts w:eastAsia="Arial Unicode MS" w:hAnsi="Arial Unicode MS"/>
          <w:b/>
          <w:smallCaps/>
          <w:color w:val="000000"/>
          <w:sz w:val="22"/>
          <w:u w:val="single" w:color="000000"/>
          <w:lang w:val="it-IT"/>
        </w:rPr>
        <w:t xml:space="preserve">Capitolato </w:t>
      </w:r>
      <w:r w:rsidR="00FC4DF4">
        <w:rPr>
          <w:rFonts w:eastAsia="Arial Unicode MS" w:hAnsi="Arial Unicode MS"/>
          <w:b/>
          <w:smallCaps/>
          <w:color w:val="000000"/>
          <w:sz w:val="22"/>
          <w:u w:val="single" w:color="000000"/>
          <w:lang w:val="it-IT"/>
        </w:rPr>
        <w:t>Speciale</w:t>
      </w:r>
      <w:r w:rsidR="0089034B">
        <w:rPr>
          <w:rFonts w:eastAsia="Arial Unicode MS" w:hAnsi="Arial Unicode MS"/>
          <w:b/>
          <w:smallCaps/>
          <w:color w:val="000000"/>
          <w:sz w:val="22"/>
          <w:u w:val="single" w:color="000000"/>
          <w:lang w:val="it-IT"/>
        </w:rPr>
        <w:t xml:space="preserve"> POI</w:t>
      </w:r>
      <w:r w:rsidRPr="00BE36BB">
        <w:rPr>
          <w:rFonts w:eastAsia="Arial Unicode MS" w:hAnsi="Arial Unicode MS"/>
          <w:b/>
          <w:smallCaps/>
          <w:color w:val="000000"/>
          <w:sz w:val="22"/>
          <w:u w:val="single" w:color="000000"/>
          <w:lang w:val="it-IT"/>
        </w:rPr>
        <w:t xml:space="preserve"> </w:t>
      </w:r>
      <w:r w:rsidR="006B19FE" w:rsidRPr="00BE36BB">
        <w:rPr>
          <w:rFonts w:eastAsia="Arial Unicode MS" w:hAnsi="Arial Unicode MS"/>
          <w:b/>
          <w:smallCaps/>
          <w:color w:val="000000"/>
          <w:sz w:val="22"/>
          <w:u w:val="single" w:color="000000"/>
          <w:lang w:val="it-IT"/>
        </w:rPr>
        <w:t>–</w:t>
      </w:r>
      <w:r w:rsidRPr="00BE36BB">
        <w:rPr>
          <w:rFonts w:eastAsia="Arial Unicode MS" w:hAnsi="Arial Unicode MS"/>
          <w:b/>
          <w:smallCaps/>
          <w:color w:val="000000"/>
          <w:sz w:val="22"/>
          <w:u w:val="single" w:color="000000"/>
          <w:lang w:val="it-IT"/>
        </w:rPr>
        <w:t xml:space="preserve"> </w:t>
      </w:r>
      <w:r w:rsidR="006B19FE" w:rsidRPr="00BE36BB">
        <w:rPr>
          <w:rFonts w:eastAsia="Arial Unicode MS" w:hAnsi="Arial Unicode MS"/>
          <w:b/>
          <w:smallCaps/>
          <w:color w:val="000000"/>
          <w:sz w:val="22"/>
          <w:u w:val="single" w:color="000000"/>
          <w:lang w:val="it-IT"/>
        </w:rPr>
        <w:t xml:space="preserve">Categoria: </w:t>
      </w:r>
      <w:r w:rsidR="00B876FA" w:rsidRPr="00BE36BB">
        <w:rPr>
          <w:rFonts w:eastAsia="Arial Unicode MS" w:hAnsi="Arial Unicode MS"/>
          <w:b/>
          <w:smallCaps/>
          <w:color w:val="000000"/>
          <w:sz w:val="22"/>
          <w:u w:val="single" w:color="000000"/>
          <w:lang w:val="it-IT"/>
        </w:rPr>
        <w:t>Beni per l</w:t>
      </w:r>
      <w:r w:rsidR="00B876FA" w:rsidRPr="00BE36BB">
        <w:rPr>
          <w:rFonts w:eastAsia="Arial Unicode MS" w:hAnsi="Arial Unicode MS"/>
          <w:b/>
          <w:smallCaps/>
          <w:color w:val="000000"/>
          <w:sz w:val="22"/>
          <w:u w:val="single" w:color="000000"/>
          <w:lang w:val="it-IT"/>
        </w:rPr>
        <w:t>’</w:t>
      </w:r>
      <w:r w:rsidR="00B876FA" w:rsidRPr="00BE36BB">
        <w:rPr>
          <w:rFonts w:eastAsia="Arial Unicode MS" w:hAnsi="Arial Unicode MS"/>
          <w:b/>
          <w:smallCaps/>
          <w:color w:val="000000"/>
          <w:sz w:val="22"/>
          <w:u w:val="single" w:color="000000"/>
          <w:lang w:val="it-IT"/>
        </w:rPr>
        <w:t>efficienza energetica</w:t>
      </w:r>
    </w:p>
    <w:p w14:paraId="394A17C7" w14:textId="3B59E6B1" w:rsidR="00B876FA" w:rsidRPr="00226152" w:rsidRDefault="00E83243" w:rsidP="0059620E">
      <w:pPr>
        <w:numPr>
          <w:ilvl w:val="0"/>
          <w:numId w:val="3"/>
        </w:numPr>
        <w:spacing w:before="240" w:after="200" w:line="276" w:lineRule="auto"/>
        <w:jc w:val="both"/>
        <w:outlineLvl w:val="0"/>
        <w:rPr>
          <w:rFonts w:eastAsia="Arial Unicode MS"/>
          <w:b/>
          <w:color w:val="000000"/>
          <w:sz w:val="20"/>
          <w:u w:val="single" w:color="000000"/>
          <w:lang w:val="it-IT"/>
        </w:rPr>
      </w:pPr>
      <w:r>
        <w:rPr>
          <w:rFonts w:eastAsia="Arial Unicode MS" w:hAnsi="Arial Unicode MS"/>
          <w:b/>
          <w:smallCaps/>
          <w:color w:val="000000"/>
          <w:sz w:val="20"/>
          <w:szCs w:val="20"/>
          <w:u w:val="single" w:color="000000"/>
          <w:lang w:val="it-IT"/>
        </w:rPr>
        <w:t>P</w:t>
      </w:r>
      <w:r w:rsidR="006B19FE" w:rsidRPr="00E83243">
        <w:rPr>
          <w:rFonts w:eastAsia="Arial Unicode MS" w:hAnsi="Arial Unicode MS"/>
          <w:b/>
          <w:smallCaps/>
          <w:color w:val="000000"/>
          <w:sz w:val="20"/>
          <w:szCs w:val="20"/>
          <w:u w:val="single" w:color="000000"/>
          <w:lang w:val="it-IT"/>
        </w:rPr>
        <w:t>rodotto</w:t>
      </w:r>
      <w:r w:rsidR="006B19FE" w:rsidRPr="00E83243">
        <w:rPr>
          <w:rFonts w:eastAsia="Arial Unicode MS" w:hAnsi="Arial Unicode MS"/>
          <w:b/>
          <w:smallCaps/>
          <w:color w:val="000000"/>
          <w:sz w:val="20"/>
          <w:szCs w:val="20"/>
          <w:u w:val="single"/>
          <w:lang w:val="it-IT"/>
        </w:rPr>
        <w:t>:</w:t>
      </w:r>
      <w:r w:rsidR="00956122" w:rsidRPr="00E83243">
        <w:rPr>
          <w:u w:val="single"/>
          <w:lang w:val="it-IT"/>
        </w:rPr>
        <w:t xml:space="preserve"> </w:t>
      </w:r>
      <w:r w:rsidR="00956122" w:rsidRPr="00E83243">
        <w:rPr>
          <w:rFonts w:eastAsia="Arial Unicode MS" w:hAnsi="Arial Unicode MS"/>
          <w:b/>
          <w:smallCaps/>
          <w:color w:val="000000"/>
          <w:sz w:val="20"/>
          <w:szCs w:val="20"/>
          <w:u w:val="single"/>
          <w:lang w:val="it-IT"/>
        </w:rPr>
        <w:t>POI ENERGIA</w:t>
      </w:r>
      <w:r w:rsidR="00CA6844">
        <w:rPr>
          <w:rFonts w:eastAsia="Arial Unicode MS" w:hAnsi="Arial Unicode MS"/>
          <w:b/>
          <w:smallCaps/>
          <w:color w:val="000000"/>
          <w:sz w:val="20"/>
          <w:szCs w:val="20"/>
          <w:u w:val="single"/>
          <w:lang w:val="it-IT"/>
        </w:rPr>
        <w:t>/CSE</w:t>
      </w:r>
      <w:r w:rsidR="00956122" w:rsidRPr="00E83243">
        <w:rPr>
          <w:rFonts w:eastAsia="Arial Unicode MS" w:hAnsi="Arial Unicode MS"/>
          <w:b/>
          <w:smallCaps/>
          <w:color w:val="000000"/>
          <w:sz w:val="20"/>
          <w:szCs w:val="20"/>
          <w:u w:val="single"/>
          <w:lang w:val="it-IT"/>
        </w:rPr>
        <w:t xml:space="preserve"> </w:t>
      </w:r>
      <w:r w:rsidR="00CA6844">
        <w:rPr>
          <w:rFonts w:eastAsia="Arial Unicode MS" w:hAnsi="Arial Unicode MS"/>
          <w:b/>
          <w:smallCaps/>
          <w:color w:val="000000"/>
          <w:sz w:val="20"/>
          <w:szCs w:val="20"/>
          <w:u w:val="single"/>
          <w:lang w:val="it-IT"/>
        </w:rPr>
        <w:t xml:space="preserve">2015 </w:t>
      </w:r>
      <w:r w:rsidR="00956122" w:rsidRPr="00E83243">
        <w:rPr>
          <w:rFonts w:eastAsia="Arial Unicode MS" w:hAnsi="Arial Unicode MS"/>
          <w:b/>
          <w:smallCaps/>
          <w:color w:val="000000"/>
          <w:sz w:val="20"/>
          <w:szCs w:val="20"/>
          <w:u w:val="single"/>
          <w:lang w:val="it-IT"/>
        </w:rPr>
        <w:t>-</w:t>
      </w:r>
      <w:r w:rsidR="006B19FE" w:rsidRPr="00E83243">
        <w:rPr>
          <w:rFonts w:eastAsia="Arial Unicode MS" w:hAnsi="Arial Unicode MS"/>
          <w:b/>
          <w:smallCaps/>
          <w:color w:val="000000"/>
          <w:sz w:val="20"/>
          <w:szCs w:val="20"/>
          <w:u w:val="single"/>
          <w:lang w:val="it-IT"/>
        </w:rPr>
        <w:t xml:space="preserve"> </w:t>
      </w:r>
      <w:r w:rsidR="00956122" w:rsidRPr="00E83243">
        <w:rPr>
          <w:rFonts w:eastAsia="Arial Unicode MS" w:hAnsi="Arial Unicode MS"/>
          <w:b/>
          <w:smallCaps/>
          <w:color w:val="000000"/>
          <w:sz w:val="20"/>
          <w:szCs w:val="20"/>
          <w:u w:val="single"/>
          <w:lang w:val="it-IT"/>
        </w:rPr>
        <w:t>Interventi di relamping</w:t>
      </w:r>
    </w:p>
    <w:p w14:paraId="6A7EFBAA" w14:textId="77777777" w:rsidR="006B19FE" w:rsidRPr="006E1258" w:rsidRDefault="006B19FE" w:rsidP="00226152">
      <w:pPr>
        <w:spacing w:after="200" w:line="276" w:lineRule="auto"/>
        <w:jc w:val="both"/>
        <w:outlineLvl w:val="0"/>
        <w:rPr>
          <w:rFonts w:eastAsia="Arial Unicode MS" w:hAnsi="Arial Unicode MS"/>
          <w:b/>
          <w:smallCaps/>
          <w:color w:val="000000"/>
          <w:sz w:val="16"/>
          <w:szCs w:val="16"/>
          <w:u w:val="single" w:color="000000"/>
          <w:lang w:val="it-IT"/>
        </w:rPr>
      </w:pPr>
    </w:p>
    <w:p w14:paraId="2489A8D0" w14:textId="4951FF69" w:rsidR="00196B86" w:rsidRPr="007D62EC" w:rsidRDefault="00196B86" w:rsidP="00196B86">
      <w:pPr>
        <w:spacing w:before="240" w:after="200" w:line="360" w:lineRule="auto"/>
        <w:jc w:val="both"/>
        <w:outlineLvl w:val="0"/>
        <w:rPr>
          <w:rFonts w:eastAsia="Arial Unicode MS"/>
          <w:b/>
          <w:smallCaps/>
          <w:color w:val="000000"/>
          <w:sz w:val="22"/>
          <w:szCs w:val="22"/>
          <w:u w:color="000000"/>
          <w:lang w:val="it-IT"/>
        </w:rPr>
      </w:pPr>
      <w:r w:rsidRPr="007D62EC">
        <w:rPr>
          <w:rFonts w:eastAsia="Arial Unicode MS"/>
          <w:b/>
          <w:smallCaps/>
          <w:color w:val="000000"/>
          <w:sz w:val="22"/>
          <w:szCs w:val="22"/>
          <w:u w:color="000000"/>
          <w:lang w:val="it-IT"/>
        </w:rPr>
        <w:t>Premessa</w:t>
      </w:r>
      <w:r w:rsidR="00CA6844">
        <w:rPr>
          <w:rFonts w:eastAsia="Arial Unicode MS"/>
          <w:b/>
          <w:smallCaps/>
          <w:color w:val="000000"/>
          <w:sz w:val="22"/>
          <w:szCs w:val="22"/>
          <w:u w:color="000000"/>
          <w:lang w:val="it-IT"/>
        </w:rPr>
        <w:t xml:space="preserve"> – Presa d’atto del Fornitore</w:t>
      </w:r>
    </w:p>
    <w:p w14:paraId="501DF74C" w14:textId="4A68D358" w:rsidR="00E83243" w:rsidRDefault="00196B86" w:rsidP="00196B86">
      <w:pPr>
        <w:spacing w:after="200" w:line="360" w:lineRule="auto"/>
        <w:jc w:val="both"/>
        <w:outlineLvl w:val="0"/>
        <w:rPr>
          <w:rFonts w:eastAsia="Arial Unicode MS"/>
          <w:color w:val="000000"/>
          <w:sz w:val="22"/>
          <w:szCs w:val="22"/>
          <w:u w:color="000000"/>
          <w:lang w:val="it-IT"/>
        </w:rPr>
      </w:pPr>
      <w:r w:rsidRPr="00196B86">
        <w:rPr>
          <w:rFonts w:eastAsia="Arial Unicode MS"/>
          <w:color w:val="000000"/>
          <w:sz w:val="22"/>
          <w:szCs w:val="22"/>
          <w:u w:color="000000"/>
          <w:lang w:val="it-IT"/>
        </w:rPr>
        <w:t xml:space="preserve">Per quanto non espressamente quivi previsto, in relazione al prodotto indicato nella rubrica del presente </w:t>
      </w:r>
      <w:r w:rsidRPr="00FC4DF4">
        <w:rPr>
          <w:rFonts w:eastAsia="Arial Unicode MS"/>
          <w:color w:val="000000"/>
          <w:sz w:val="22"/>
          <w:szCs w:val="22"/>
          <w:u w:color="000000"/>
          <w:lang w:val="it-IT"/>
        </w:rPr>
        <w:t xml:space="preserve">capitolato </w:t>
      </w:r>
      <w:r w:rsidR="00FC4DF4" w:rsidRPr="006C4AAA">
        <w:rPr>
          <w:rFonts w:eastAsia="Arial Unicode MS"/>
          <w:color w:val="000000"/>
          <w:sz w:val="22"/>
          <w:szCs w:val="22"/>
          <w:u w:color="000000"/>
          <w:lang w:val="it-IT"/>
        </w:rPr>
        <w:t xml:space="preserve">speciale </w:t>
      </w:r>
      <w:r w:rsidR="00041696">
        <w:rPr>
          <w:rFonts w:eastAsia="Arial Unicode MS"/>
          <w:color w:val="000000"/>
          <w:sz w:val="22"/>
          <w:szCs w:val="22"/>
          <w:u w:color="000000"/>
          <w:lang w:val="it-IT"/>
        </w:rPr>
        <w:t>(di seguito, il “</w:t>
      </w:r>
      <w:r w:rsidR="00041696" w:rsidRPr="00041696">
        <w:rPr>
          <w:rFonts w:eastAsia="Arial Unicode MS"/>
          <w:b/>
          <w:color w:val="000000"/>
          <w:sz w:val="22"/>
          <w:szCs w:val="22"/>
          <w:u w:color="000000"/>
          <w:lang w:val="it-IT"/>
        </w:rPr>
        <w:t>Capitolato Speciale POI</w:t>
      </w:r>
      <w:r w:rsidR="00041696">
        <w:rPr>
          <w:rFonts w:eastAsia="Arial Unicode MS"/>
          <w:color w:val="000000"/>
          <w:sz w:val="22"/>
          <w:szCs w:val="22"/>
          <w:u w:color="000000"/>
          <w:lang w:val="it-IT"/>
        </w:rPr>
        <w:t xml:space="preserve">”) </w:t>
      </w:r>
      <w:r w:rsidRPr="00196B86">
        <w:rPr>
          <w:rFonts w:eastAsia="Arial Unicode MS"/>
          <w:color w:val="000000"/>
          <w:sz w:val="22"/>
          <w:szCs w:val="22"/>
          <w:u w:color="000000"/>
          <w:lang w:val="it-IT"/>
        </w:rPr>
        <w:t>trovano</w:t>
      </w:r>
      <w:r w:rsidRPr="007D62EC">
        <w:rPr>
          <w:rFonts w:eastAsia="Arial Unicode MS"/>
          <w:color w:val="000000"/>
          <w:sz w:val="22"/>
          <w:szCs w:val="22"/>
          <w:u w:color="000000"/>
          <w:lang w:val="it-IT"/>
        </w:rPr>
        <w:t xml:space="preserve"> integrale applicazione le previsioni contenute nell’</w:t>
      </w:r>
      <w:r w:rsidR="00E83243">
        <w:rPr>
          <w:rFonts w:ascii="Calibri" w:eastAsia="Calibri" w:hAnsi="Calibri"/>
          <w:sz w:val="22"/>
          <w:szCs w:val="22"/>
          <w:lang w:val="it-IT"/>
        </w:rPr>
        <w:t>“</w:t>
      </w:r>
      <w:r w:rsidRPr="00196B86">
        <w:rPr>
          <w:rFonts w:eastAsia="Arial Unicode MS"/>
          <w:i/>
          <w:smallCaps/>
          <w:color w:val="000000"/>
          <w:sz w:val="22"/>
          <w:szCs w:val="22"/>
          <w:u w:color="000000"/>
          <w:lang w:val="it-IT"/>
        </w:rPr>
        <w:t>ALLEGATO 1g</w:t>
      </w:r>
      <w:r>
        <w:rPr>
          <w:rFonts w:eastAsia="Arial Unicode MS"/>
          <w:i/>
          <w:smallCaps/>
          <w:color w:val="000000"/>
          <w:sz w:val="22"/>
          <w:szCs w:val="22"/>
          <w:u w:color="000000"/>
          <w:lang w:val="it-IT"/>
        </w:rPr>
        <w:t xml:space="preserve"> </w:t>
      </w:r>
      <w:r w:rsidRPr="00196B86">
        <w:rPr>
          <w:rFonts w:eastAsia="Arial Unicode MS"/>
          <w:i/>
          <w:smallCaps/>
          <w:color w:val="000000"/>
          <w:sz w:val="22"/>
          <w:szCs w:val="22"/>
          <w:u w:color="000000"/>
          <w:lang w:val="it-IT"/>
        </w:rPr>
        <w:t>AL BANDO “FONTI RINNOVABILI ED EFFICIENZA ENERGETICA” PER L’ABILITAZIONE DI FORNITORI E BENI PER LA PARTECIPAZIONE AL MERCATO ELETTRONICO PER LA FORNITURA DI BENI PER L’EFFICIENZA ENERGETICA</w:t>
      </w:r>
      <w:r w:rsidR="00E83243">
        <w:rPr>
          <w:rFonts w:eastAsia="Arial Unicode MS"/>
          <w:i/>
          <w:smallCaps/>
          <w:color w:val="000000"/>
          <w:sz w:val="22"/>
          <w:szCs w:val="22"/>
          <w:u w:color="000000"/>
          <w:lang w:val="it-IT"/>
        </w:rPr>
        <w:t>”</w:t>
      </w:r>
      <w:r w:rsidR="00E83243">
        <w:rPr>
          <w:rFonts w:eastAsia="Arial Unicode MS"/>
          <w:i/>
          <w:color w:val="000000"/>
          <w:sz w:val="22"/>
          <w:szCs w:val="22"/>
          <w:u w:color="000000"/>
          <w:lang w:val="it-IT"/>
        </w:rPr>
        <w:t xml:space="preserve"> </w:t>
      </w:r>
      <w:r w:rsidR="00E83243" w:rsidRPr="00D777B4">
        <w:rPr>
          <w:rFonts w:eastAsia="Arial Unicode MS"/>
          <w:color w:val="000000"/>
          <w:sz w:val="22"/>
          <w:szCs w:val="22"/>
          <w:u w:color="000000"/>
          <w:lang w:val="it-IT"/>
        </w:rPr>
        <w:t>nella versione di volta in volta vigente alla data di emissione della RDO</w:t>
      </w:r>
      <w:r>
        <w:rPr>
          <w:rFonts w:eastAsia="Arial Unicode MS"/>
          <w:i/>
          <w:smallCaps/>
          <w:color w:val="000000"/>
          <w:sz w:val="22"/>
          <w:szCs w:val="22"/>
          <w:u w:color="000000"/>
          <w:lang w:val="it-IT"/>
        </w:rPr>
        <w:t xml:space="preserve"> </w:t>
      </w:r>
      <w:r w:rsidRPr="00196B86">
        <w:rPr>
          <w:rFonts w:eastAsia="Arial Unicode MS"/>
          <w:i/>
          <w:smallCaps/>
          <w:color w:val="000000"/>
          <w:sz w:val="22"/>
          <w:szCs w:val="22"/>
          <w:u w:color="000000"/>
          <w:lang w:val="it-IT"/>
        </w:rPr>
        <w:t xml:space="preserve"> </w:t>
      </w:r>
      <w:r w:rsidRPr="007D62EC">
        <w:rPr>
          <w:rFonts w:eastAsia="Arial Unicode MS"/>
          <w:color w:val="000000"/>
          <w:sz w:val="22"/>
          <w:szCs w:val="22"/>
          <w:u w:color="000000"/>
          <w:lang w:val="it-IT"/>
        </w:rPr>
        <w:t>(di seguito, il “</w:t>
      </w:r>
      <w:r w:rsidRPr="007D62EC">
        <w:rPr>
          <w:rFonts w:eastAsia="Arial Unicode MS"/>
          <w:b/>
          <w:color w:val="000000"/>
          <w:sz w:val="22"/>
          <w:szCs w:val="22"/>
          <w:u w:color="000000"/>
          <w:lang w:val="it-IT"/>
        </w:rPr>
        <w:t>Capitolato Standard</w:t>
      </w:r>
      <w:r w:rsidR="0089034B">
        <w:rPr>
          <w:rFonts w:eastAsia="Arial Unicode MS"/>
          <w:b/>
          <w:color w:val="000000"/>
          <w:sz w:val="22"/>
          <w:szCs w:val="22"/>
          <w:u w:color="000000"/>
          <w:lang w:val="it-IT"/>
        </w:rPr>
        <w:t xml:space="preserve"> MePA</w:t>
      </w:r>
      <w:r w:rsidRPr="00BE36BB">
        <w:rPr>
          <w:rFonts w:eastAsia="Arial Unicode MS"/>
          <w:color w:val="000000"/>
          <w:sz w:val="22"/>
          <w:szCs w:val="22"/>
          <w:u w:color="000000"/>
          <w:lang w:val="it-IT"/>
        </w:rPr>
        <w:t>”)</w:t>
      </w:r>
      <w:r w:rsidR="00070547">
        <w:rPr>
          <w:rFonts w:eastAsia="Arial Unicode MS"/>
          <w:color w:val="000000"/>
          <w:sz w:val="22"/>
          <w:szCs w:val="22"/>
          <w:u w:color="000000"/>
          <w:lang w:val="it-IT"/>
        </w:rPr>
        <w:t xml:space="preserve">. </w:t>
      </w:r>
      <w:r w:rsidR="00E83243">
        <w:rPr>
          <w:rFonts w:eastAsia="Arial Unicode MS"/>
          <w:color w:val="000000"/>
          <w:sz w:val="22"/>
          <w:szCs w:val="22"/>
          <w:u w:color="000000"/>
          <w:lang w:val="it-IT"/>
        </w:rPr>
        <w:t xml:space="preserve">Le previsioni contenute nel presente </w:t>
      </w:r>
      <w:r w:rsidR="00070547">
        <w:rPr>
          <w:rFonts w:eastAsia="Arial Unicode MS"/>
          <w:color w:val="000000"/>
          <w:sz w:val="22"/>
          <w:szCs w:val="22"/>
          <w:u w:color="000000"/>
          <w:lang w:val="it-IT"/>
        </w:rPr>
        <w:t>C</w:t>
      </w:r>
      <w:r w:rsidR="00E83243" w:rsidRPr="00FC4DF4">
        <w:rPr>
          <w:rFonts w:eastAsia="Arial Unicode MS"/>
          <w:color w:val="000000"/>
          <w:sz w:val="22"/>
          <w:szCs w:val="22"/>
          <w:u w:color="000000"/>
          <w:lang w:val="it-IT"/>
        </w:rPr>
        <w:t xml:space="preserve">apitolato </w:t>
      </w:r>
      <w:r w:rsidR="00070547">
        <w:rPr>
          <w:rFonts w:eastAsia="Arial Unicode MS"/>
          <w:color w:val="000000"/>
          <w:sz w:val="22"/>
          <w:szCs w:val="22"/>
          <w:u w:color="000000"/>
          <w:lang w:val="it-IT"/>
        </w:rPr>
        <w:t>S</w:t>
      </w:r>
      <w:r w:rsidR="00FC4DF4" w:rsidRPr="00FC4DF4">
        <w:rPr>
          <w:rFonts w:eastAsia="Arial Unicode MS"/>
          <w:color w:val="000000"/>
          <w:sz w:val="22"/>
          <w:szCs w:val="22"/>
          <w:u w:color="000000"/>
          <w:lang w:val="it-IT"/>
        </w:rPr>
        <w:t>peciale</w:t>
      </w:r>
      <w:r w:rsidR="00E83243">
        <w:rPr>
          <w:rFonts w:eastAsia="Arial Unicode MS"/>
          <w:color w:val="000000"/>
          <w:sz w:val="22"/>
          <w:szCs w:val="22"/>
          <w:u w:color="000000"/>
          <w:lang w:val="it-IT"/>
        </w:rPr>
        <w:t xml:space="preserve"> </w:t>
      </w:r>
      <w:r w:rsidR="00070547">
        <w:rPr>
          <w:rFonts w:eastAsia="Arial Unicode MS"/>
          <w:color w:val="000000"/>
          <w:sz w:val="22"/>
          <w:szCs w:val="22"/>
          <w:u w:color="000000"/>
          <w:lang w:val="it-IT"/>
        </w:rPr>
        <w:t xml:space="preserve">POI </w:t>
      </w:r>
      <w:r w:rsidR="00E83243">
        <w:rPr>
          <w:rFonts w:eastAsia="Arial Unicode MS"/>
          <w:color w:val="000000"/>
          <w:sz w:val="22"/>
          <w:szCs w:val="22"/>
          <w:u w:color="000000"/>
          <w:lang w:val="it-IT"/>
        </w:rPr>
        <w:t>prevarranno</w:t>
      </w:r>
      <w:r w:rsidR="00FC4DF4">
        <w:rPr>
          <w:rFonts w:eastAsia="Arial Unicode MS"/>
          <w:color w:val="000000"/>
          <w:sz w:val="22"/>
          <w:szCs w:val="22"/>
          <w:u w:color="000000"/>
          <w:lang w:val="it-IT"/>
        </w:rPr>
        <w:t xml:space="preserve"> in ogni caso </w:t>
      </w:r>
      <w:r w:rsidR="00E83243">
        <w:rPr>
          <w:rFonts w:eastAsia="Arial Unicode MS"/>
          <w:color w:val="000000"/>
          <w:sz w:val="22"/>
          <w:szCs w:val="22"/>
          <w:u w:color="000000"/>
          <w:lang w:val="it-IT"/>
        </w:rPr>
        <w:t>rispetto all</w:t>
      </w:r>
      <w:r w:rsidR="00FC4DF4">
        <w:rPr>
          <w:rFonts w:eastAsia="Arial Unicode MS"/>
          <w:color w:val="000000"/>
          <w:sz w:val="22"/>
          <w:szCs w:val="22"/>
          <w:u w:color="000000"/>
          <w:lang w:val="it-IT"/>
        </w:rPr>
        <w:t xml:space="preserve">e previsioni del Capitolato Standard </w:t>
      </w:r>
      <w:r w:rsidR="0089034B">
        <w:rPr>
          <w:rFonts w:eastAsia="Arial Unicode MS"/>
          <w:color w:val="000000"/>
          <w:sz w:val="22"/>
          <w:szCs w:val="22"/>
          <w:u w:color="000000"/>
          <w:lang w:val="it-IT"/>
        </w:rPr>
        <w:t>MePA</w:t>
      </w:r>
      <w:r w:rsidR="00FC4DF4">
        <w:rPr>
          <w:rFonts w:eastAsia="Arial Unicode MS"/>
          <w:color w:val="000000"/>
          <w:sz w:val="22"/>
          <w:szCs w:val="22"/>
          <w:u w:color="000000"/>
          <w:lang w:val="it-IT"/>
        </w:rPr>
        <w:t>.</w:t>
      </w:r>
    </w:p>
    <w:p w14:paraId="28A5003E" w14:textId="77777777" w:rsidR="00196B86" w:rsidRPr="00196B86" w:rsidRDefault="00196B86" w:rsidP="00196B86">
      <w:pPr>
        <w:spacing w:after="200" w:line="360" w:lineRule="auto"/>
        <w:jc w:val="both"/>
        <w:outlineLvl w:val="0"/>
        <w:rPr>
          <w:rFonts w:eastAsia="Arial Unicode MS"/>
          <w:color w:val="000000"/>
          <w:sz w:val="22"/>
          <w:szCs w:val="22"/>
          <w:u w:color="000000"/>
          <w:lang w:val="it-IT"/>
        </w:rPr>
      </w:pPr>
      <w:r w:rsidRPr="007D62EC">
        <w:rPr>
          <w:rFonts w:eastAsia="Arial Unicode MS"/>
          <w:color w:val="000000"/>
          <w:sz w:val="22"/>
          <w:szCs w:val="22"/>
          <w:u w:color="000000"/>
          <w:lang w:val="it-IT"/>
        </w:rPr>
        <w:t>I termini e le espressioni quivi utilizzati con la lettera in</w:t>
      </w:r>
      <w:r w:rsidR="004D557D">
        <w:rPr>
          <w:rFonts w:eastAsia="Arial Unicode MS"/>
          <w:color w:val="000000"/>
          <w:sz w:val="22"/>
          <w:szCs w:val="22"/>
          <w:u w:color="000000"/>
          <w:lang w:val="it-IT"/>
        </w:rPr>
        <w:t>i</w:t>
      </w:r>
      <w:r w:rsidRPr="007D62EC">
        <w:rPr>
          <w:rFonts w:eastAsia="Arial Unicode MS"/>
          <w:color w:val="000000"/>
          <w:sz w:val="22"/>
          <w:szCs w:val="22"/>
          <w:u w:color="000000"/>
          <w:lang w:val="it-IT"/>
        </w:rPr>
        <w:t xml:space="preserve">ziale maiuscola, ove non altrimenti specificato, </w:t>
      </w:r>
      <w:r w:rsidRPr="00196B86">
        <w:rPr>
          <w:rFonts w:eastAsia="Arial Unicode MS"/>
          <w:color w:val="000000"/>
          <w:sz w:val="22"/>
          <w:szCs w:val="22"/>
          <w:u w:color="000000"/>
          <w:lang w:val="it-IT"/>
        </w:rPr>
        <w:t>hanno il medesimo significato loro attribuito nel Capitolato Standard</w:t>
      </w:r>
      <w:r w:rsidR="0089034B">
        <w:rPr>
          <w:rFonts w:eastAsia="Arial Unicode MS"/>
          <w:color w:val="000000"/>
          <w:sz w:val="22"/>
          <w:szCs w:val="22"/>
          <w:u w:color="000000"/>
          <w:lang w:val="it-IT"/>
        </w:rPr>
        <w:t xml:space="preserve"> MePA</w:t>
      </w:r>
      <w:r w:rsidRPr="00196B86">
        <w:rPr>
          <w:rFonts w:eastAsia="Arial Unicode MS"/>
          <w:color w:val="000000"/>
          <w:sz w:val="22"/>
          <w:szCs w:val="22"/>
          <w:u w:color="000000"/>
          <w:lang w:val="it-IT"/>
        </w:rPr>
        <w:t>.</w:t>
      </w:r>
    </w:p>
    <w:p w14:paraId="23C7149B" w14:textId="58EC5292" w:rsidR="00CA6844" w:rsidRDefault="00196B86" w:rsidP="00CA6844">
      <w:pPr>
        <w:spacing w:after="200" w:line="360" w:lineRule="auto"/>
        <w:jc w:val="both"/>
        <w:outlineLvl w:val="0"/>
        <w:rPr>
          <w:rFonts w:eastAsia="Arial Unicode MS"/>
          <w:color w:val="000000"/>
          <w:sz w:val="22"/>
          <w:szCs w:val="22"/>
          <w:u w:color="000000"/>
          <w:lang w:val="it-IT"/>
        </w:rPr>
      </w:pPr>
      <w:r w:rsidRPr="00196B86">
        <w:rPr>
          <w:rFonts w:eastAsia="Arial Unicode MS"/>
          <w:color w:val="000000"/>
          <w:sz w:val="22"/>
          <w:szCs w:val="22"/>
          <w:u w:color="000000"/>
          <w:lang w:val="it-IT"/>
        </w:rPr>
        <w:t xml:space="preserve">Considerato che la fornitura dei suddetti </w:t>
      </w:r>
      <w:r w:rsidR="004D557D">
        <w:rPr>
          <w:rFonts w:eastAsia="Arial Unicode MS"/>
          <w:color w:val="000000"/>
          <w:sz w:val="22"/>
          <w:szCs w:val="22"/>
          <w:u w:color="000000"/>
          <w:lang w:val="it-IT"/>
        </w:rPr>
        <w:t>prodotti</w:t>
      </w:r>
      <w:r w:rsidR="004D557D" w:rsidRPr="00196B86">
        <w:rPr>
          <w:rFonts w:eastAsia="Arial Unicode MS"/>
          <w:color w:val="000000"/>
          <w:sz w:val="22"/>
          <w:szCs w:val="22"/>
          <w:u w:color="000000"/>
          <w:lang w:val="it-IT"/>
        </w:rPr>
        <w:t xml:space="preserve"> </w:t>
      </w:r>
      <w:r w:rsidRPr="00196B86">
        <w:rPr>
          <w:rFonts w:eastAsia="Arial Unicode MS"/>
          <w:color w:val="000000"/>
          <w:sz w:val="22"/>
          <w:szCs w:val="22"/>
          <w:u w:color="000000"/>
          <w:lang w:val="it-IT"/>
        </w:rPr>
        <w:t xml:space="preserve">si inserisce nel contesto </w:t>
      </w:r>
      <w:r w:rsidR="005E20BD" w:rsidRPr="005E20BD">
        <w:rPr>
          <w:rFonts w:eastAsia="Arial Unicode MS"/>
          <w:color w:val="000000"/>
          <w:sz w:val="22"/>
          <w:szCs w:val="22"/>
          <w:u w:color="000000"/>
          <w:lang w:val="it-IT"/>
        </w:rPr>
        <w:t>del</w:t>
      </w:r>
      <w:r w:rsidR="00CA6844">
        <w:rPr>
          <w:rFonts w:eastAsia="Arial Unicode MS"/>
          <w:color w:val="000000"/>
          <w:sz w:val="22"/>
          <w:szCs w:val="22"/>
          <w:u w:color="000000"/>
          <w:lang w:val="it-IT"/>
        </w:rPr>
        <w:t>l’</w:t>
      </w:r>
      <w:r w:rsidR="005E20BD" w:rsidRPr="005E20BD">
        <w:rPr>
          <w:rFonts w:eastAsia="Arial Unicode MS"/>
          <w:color w:val="000000"/>
          <w:sz w:val="22"/>
          <w:szCs w:val="22"/>
          <w:u w:color="000000"/>
          <w:lang w:val="it-IT"/>
        </w:rPr>
        <w:t xml:space="preserve"> “</w:t>
      </w:r>
      <w:r w:rsidR="00CA6844" w:rsidRPr="00CA6844">
        <w:rPr>
          <w:rFonts w:eastAsia="Arial Unicode MS"/>
          <w:b/>
          <w:i/>
          <w:color w:val="000000"/>
          <w:sz w:val="22"/>
          <w:szCs w:val="22"/>
          <w:u w:color="000000"/>
          <w:lang w:val="it-IT"/>
        </w:rPr>
        <w:t>Avviso</w:t>
      </w:r>
      <w:r w:rsidR="00CA6844">
        <w:rPr>
          <w:rFonts w:eastAsia="Arial Unicode MS"/>
          <w:color w:val="000000"/>
          <w:sz w:val="22"/>
          <w:szCs w:val="22"/>
          <w:u w:color="000000"/>
          <w:lang w:val="it-IT"/>
        </w:rPr>
        <w:t xml:space="preserve"> </w:t>
      </w:r>
      <w:r w:rsidR="005E20BD" w:rsidRPr="005E20BD">
        <w:rPr>
          <w:rFonts w:eastAsia="Arial Unicode MS"/>
          <w:b/>
          <w:bCs/>
          <w:i/>
          <w:color w:val="000000"/>
          <w:sz w:val="22"/>
          <w:szCs w:val="22"/>
          <w:u w:color="000000"/>
          <w:lang w:val="it-IT"/>
        </w:rPr>
        <w:t>C.S.E. </w:t>
      </w:r>
      <w:r w:rsidR="004C2868">
        <w:rPr>
          <w:rFonts w:eastAsia="Arial Unicode MS"/>
          <w:b/>
          <w:bCs/>
          <w:i/>
          <w:color w:val="000000"/>
          <w:sz w:val="22"/>
          <w:szCs w:val="22"/>
          <w:u w:color="000000"/>
          <w:lang w:val="it-IT"/>
        </w:rPr>
        <w:t xml:space="preserve">2015 </w:t>
      </w:r>
      <w:r w:rsidR="005E20BD" w:rsidRPr="005E20BD">
        <w:rPr>
          <w:rFonts w:eastAsia="Arial Unicode MS"/>
          <w:b/>
          <w:bCs/>
          <w:i/>
          <w:color w:val="000000"/>
          <w:sz w:val="22"/>
          <w:szCs w:val="22"/>
          <w:u w:color="000000"/>
          <w:lang w:val="it-IT"/>
        </w:rPr>
        <w:t>- Comuni per la Sostenibilità e l’Efficienza energetica</w:t>
      </w:r>
      <w:r w:rsidR="005E20BD" w:rsidRPr="005E20BD">
        <w:rPr>
          <w:rFonts w:eastAsia="Arial Unicode MS"/>
          <w:b/>
          <w:bCs/>
          <w:color w:val="000000"/>
          <w:sz w:val="22"/>
          <w:szCs w:val="22"/>
          <w:u w:color="000000"/>
          <w:lang w:val="it-IT"/>
        </w:rPr>
        <w:t xml:space="preserve"> - </w:t>
      </w:r>
      <w:r w:rsidR="00016263" w:rsidRPr="00226152">
        <w:rPr>
          <w:rFonts w:eastAsia="Arial Unicode MS"/>
          <w:i/>
          <w:color w:val="000000"/>
          <w:sz w:val="22"/>
          <w:u w:color="000000"/>
          <w:lang w:val="it-IT"/>
        </w:rPr>
        <w:t>Avviso relativo alla concessione di contributi a fondo perduto per la realizzazione di interventi di efficientamento energetico e</w:t>
      </w:r>
      <w:r w:rsidR="00016263" w:rsidRPr="00016263">
        <w:rPr>
          <w:rFonts w:eastAsia="Arial Unicode MS"/>
          <w:i/>
          <w:color w:val="000000"/>
          <w:sz w:val="22"/>
          <w:szCs w:val="22"/>
          <w:u w:color="000000"/>
          <w:lang w:val="it-IT"/>
        </w:rPr>
        <w:t>/o</w:t>
      </w:r>
      <w:r w:rsidR="00016263" w:rsidRPr="00226152">
        <w:rPr>
          <w:rFonts w:eastAsia="Arial Unicode MS"/>
          <w:i/>
          <w:color w:val="000000"/>
          <w:sz w:val="22"/>
          <w:u w:color="000000"/>
          <w:lang w:val="it-IT"/>
        </w:rPr>
        <w:t xml:space="preserve"> </w:t>
      </w:r>
      <w:r w:rsidR="00F25F42">
        <w:rPr>
          <w:rFonts w:eastAsia="Arial Unicode MS"/>
          <w:i/>
          <w:color w:val="000000"/>
          <w:sz w:val="22"/>
          <w:u w:color="000000"/>
          <w:lang w:val="it-IT"/>
        </w:rPr>
        <w:t xml:space="preserve">di </w:t>
      </w:r>
      <w:r w:rsidR="00016263" w:rsidRPr="00226152">
        <w:rPr>
          <w:rFonts w:eastAsia="Arial Unicode MS"/>
          <w:i/>
          <w:color w:val="000000"/>
          <w:sz w:val="22"/>
          <w:u w:color="000000"/>
          <w:lang w:val="it-IT"/>
        </w:rPr>
        <w:t xml:space="preserve">produzione di energia da fonti rinnovabili a servizio di edifici di Amministrazioni comunali </w:t>
      </w:r>
      <w:r w:rsidR="005E20BD">
        <w:rPr>
          <w:rFonts w:eastAsia="Arial Unicode MS"/>
          <w:i/>
          <w:color w:val="000000"/>
          <w:sz w:val="22"/>
          <w:u w:color="000000"/>
          <w:lang w:val="it-IT"/>
        </w:rPr>
        <w:t>d</w:t>
      </w:r>
      <w:r w:rsidR="00016263" w:rsidRPr="00226152">
        <w:rPr>
          <w:rFonts w:eastAsia="Arial Unicode MS"/>
          <w:i/>
          <w:color w:val="000000"/>
          <w:sz w:val="22"/>
          <w:u w:color="000000"/>
          <w:lang w:val="it-IT"/>
        </w:rPr>
        <w:t>elle Regioni Convergenza, attraverso l’acquisto e l’approvvigionamento dei relativi beni e servizi con le procedure telematiche del Mercato Elettronico della Pubblica Amministrazione (MePA)</w:t>
      </w:r>
      <w:r w:rsidR="00016263" w:rsidRPr="00226152">
        <w:rPr>
          <w:rFonts w:eastAsia="Arial Unicode MS"/>
          <w:color w:val="000000"/>
          <w:sz w:val="22"/>
          <w:u w:color="000000"/>
          <w:lang w:val="it-IT"/>
        </w:rPr>
        <w:t>”</w:t>
      </w:r>
      <w:r w:rsidRPr="00196B86">
        <w:rPr>
          <w:rFonts w:eastAsia="Arial Unicode MS"/>
          <w:color w:val="000000"/>
          <w:sz w:val="22"/>
          <w:szCs w:val="22"/>
          <w:u w:color="000000"/>
          <w:lang w:val="it-IT"/>
        </w:rPr>
        <w:t xml:space="preserve"> (di seguito, l’“</w:t>
      </w:r>
      <w:r w:rsidRPr="00196B86">
        <w:rPr>
          <w:rFonts w:eastAsia="Arial Unicode MS"/>
          <w:b/>
          <w:color w:val="000000"/>
          <w:sz w:val="22"/>
          <w:szCs w:val="22"/>
          <w:u w:color="000000"/>
          <w:lang w:val="it-IT"/>
        </w:rPr>
        <w:t>Avviso</w:t>
      </w:r>
      <w:r w:rsidRPr="00196B86">
        <w:rPr>
          <w:rFonts w:eastAsia="Arial Unicode MS"/>
          <w:color w:val="000000"/>
          <w:sz w:val="22"/>
          <w:szCs w:val="22"/>
          <w:u w:color="000000"/>
          <w:lang w:val="it-IT"/>
        </w:rPr>
        <w:t xml:space="preserve">”), adottato e pubblicato dal Ministero dello Sviluppo Economico – Direzione generale per il mercato elettronico, le </w:t>
      </w:r>
      <w:r w:rsidR="00CA6844">
        <w:rPr>
          <w:rFonts w:eastAsia="Arial Unicode MS"/>
          <w:color w:val="000000"/>
          <w:sz w:val="22"/>
          <w:szCs w:val="22"/>
          <w:u w:color="000000"/>
          <w:lang w:val="it-IT"/>
        </w:rPr>
        <w:t xml:space="preserve">energie </w:t>
      </w:r>
      <w:r w:rsidRPr="00196B86">
        <w:rPr>
          <w:rFonts w:eastAsia="Arial Unicode MS"/>
          <w:color w:val="000000"/>
          <w:sz w:val="22"/>
          <w:szCs w:val="22"/>
          <w:u w:color="000000"/>
          <w:lang w:val="it-IT"/>
        </w:rPr>
        <w:t>rinnovabili e l’efficienza energetica, il nucleare</w:t>
      </w:r>
      <w:r w:rsidR="00CA6844">
        <w:rPr>
          <w:rFonts w:eastAsia="Arial Unicode MS"/>
          <w:color w:val="000000"/>
          <w:sz w:val="22"/>
          <w:szCs w:val="22"/>
          <w:u w:color="000000"/>
          <w:lang w:val="it-IT"/>
        </w:rPr>
        <w:t xml:space="preserve"> (di seguito, “</w:t>
      </w:r>
      <w:r w:rsidR="00CA6844" w:rsidRPr="00F34F5A">
        <w:rPr>
          <w:rFonts w:eastAsia="Arial Unicode MS"/>
          <w:b/>
          <w:color w:val="000000"/>
          <w:sz w:val="22"/>
          <w:szCs w:val="22"/>
          <w:u w:color="000000"/>
          <w:lang w:val="it-IT"/>
        </w:rPr>
        <w:t>MiSE-DGMEREEN</w:t>
      </w:r>
      <w:r w:rsidR="00CA6844">
        <w:rPr>
          <w:rFonts w:eastAsia="Arial Unicode MS"/>
          <w:color w:val="000000"/>
          <w:sz w:val="22"/>
          <w:szCs w:val="22"/>
          <w:u w:color="000000"/>
          <w:lang w:val="it-IT"/>
        </w:rPr>
        <w:t>”)</w:t>
      </w:r>
      <w:r w:rsidRPr="00196B86">
        <w:rPr>
          <w:rFonts w:eastAsia="Arial Unicode MS"/>
          <w:color w:val="000000"/>
          <w:sz w:val="22"/>
          <w:szCs w:val="22"/>
          <w:u w:color="000000"/>
          <w:lang w:val="it-IT"/>
        </w:rPr>
        <w:t>, quale Autorità di Gestione del Programma Operativo Interregionale “</w:t>
      </w:r>
      <w:r w:rsidRPr="00196B86">
        <w:rPr>
          <w:rFonts w:eastAsia="Arial Unicode MS"/>
          <w:i/>
          <w:color w:val="000000"/>
          <w:sz w:val="22"/>
          <w:szCs w:val="22"/>
          <w:u w:color="000000"/>
          <w:lang w:val="it-IT"/>
        </w:rPr>
        <w:t>Energie rinnovabili e risparmio energetico</w:t>
      </w:r>
      <w:r w:rsidRPr="00196B86">
        <w:rPr>
          <w:rFonts w:eastAsia="Arial Unicode MS"/>
          <w:color w:val="000000"/>
          <w:sz w:val="22"/>
          <w:szCs w:val="22"/>
          <w:u w:color="000000"/>
          <w:lang w:val="it-IT"/>
        </w:rPr>
        <w:t>” (FESR) 2007-2013 (di seguito, “</w:t>
      </w:r>
      <w:r w:rsidRPr="00196B86">
        <w:rPr>
          <w:rFonts w:eastAsia="Arial Unicode MS"/>
          <w:b/>
          <w:color w:val="000000"/>
          <w:sz w:val="22"/>
          <w:szCs w:val="22"/>
          <w:u w:color="000000"/>
          <w:lang w:val="it-IT"/>
        </w:rPr>
        <w:t>POI</w:t>
      </w:r>
      <w:r w:rsidRPr="00196B86">
        <w:rPr>
          <w:rFonts w:eastAsia="Arial Unicode MS"/>
          <w:color w:val="000000"/>
          <w:sz w:val="22"/>
          <w:szCs w:val="22"/>
          <w:u w:color="000000"/>
          <w:lang w:val="it-IT"/>
        </w:rPr>
        <w:t xml:space="preserve">”), le previsioni quivi contenute sono strettamente correlate </w:t>
      </w:r>
      <w:r w:rsidR="00F25F42">
        <w:rPr>
          <w:rFonts w:eastAsia="Arial Unicode MS"/>
          <w:color w:val="000000"/>
          <w:sz w:val="22"/>
          <w:szCs w:val="22"/>
          <w:u w:color="000000"/>
          <w:lang w:val="it-IT"/>
        </w:rPr>
        <w:t>all’Avviso e pertanto i</w:t>
      </w:r>
      <w:r w:rsidRPr="00196B86">
        <w:rPr>
          <w:rFonts w:eastAsia="Arial Unicode MS"/>
          <w:color w:val="000000"/>
          <w:sz w:val="22"/>
          <w:szCs w:val="22"/>
          <w:u w:color="000000"/>
          <w:lang w:val="it-IT"/>
        </w:rPr>
        <w:t>l medesimo Avviso</w:t>
      </w:r>
      <w:r w:rsidR="00CA6844">
        <w:rPr>
          <w:rFonts w:eastAsia="Arial Unicode MS"/>
          <w:color w:val="000000"/>
          <w:sz w:val="22"/>
          <w:szCs w:val="22"/>
          <w:u w:color="000000"/>
          <w:lang w:val="it-IT"/>
        </w:rPr>
        <w:t xml:space="preserve"> e i relativi Allegati, ivi incluso il presente Capitolato Speciale POI, e la connessa documentazione ivi citata, sono da leggere congiuntamente</w:t>
      </w:r>
      <w:r w:rsidR="00CA6844" w:rsidRPr="00534F0C">
        <w:rPr>
          <w:rFonts w:eastAsia="Arial Unicode MS"/>
          <w:color w:val="000000"/>
          <w:sz w:val="22"/>
          <w:szCs w:val="22"/>
          <w:u w:color="000000"/>
          <w:lang w:val="it-IT"/>
        </w:rPr>
        <w:t>.</w:t>
      </w:r>
    </w:p>
    <w:p w14:paraId="5D0717FF" w14:textId="3F61B496" w:rsidR="00C53C43" w:rsidRDefault="00CA6844" w:rsidP="00CA6844">
      <w:pPr>
        <w:spacing w:after="200" w:line="360" w:lineRule="auto"/>
        <w:jc w:val="both"/>
        <w:outlineLvl w:val="0"/>
        <w:rPr>
          <w:rFonts w:eastAsia="Arial Unicode MS"/>
          <w:color w:val="000000"/>
          <w:sz w:val="22"/>
          <w:szCs w:val="22"/>
          <w:u w:color="000000"/>
          <w:lang w:val="it-IT"/>
        </w:rPr>
      </w:pPr>
      <w:r>
        <w:rPr>
          <w:rFonts w:eastAsia="Arial Unicode MS"/>
          <w:color w:val="000000"/>
          <w:sz w:val="22"/>
          <w:szCs w:val="22"/>
          <w:u w:color="000000"/>
          <w:lang w:val="it-IT"/>
        </w:rPr>
        <w:t>Conseguentemente il Fornitore, in virtù e per effetto della presentazione dell’offerta in risposta alla RDO, prende espressamente atto, tra l’altro, dei termini e delle condizioni della concessione, dal MiSE-DGMEREEN al Soggetto A</w:t>
      </w:r>
      <w:r w:rsidR="00270515">
        <w:rPr>
          <w:rFonts w:eastAsia="Arial Unicode MS"/>
          <w:color w:val="000000"/>
          <w:sz w:val="22"/>
          <w:szCs w:val="22"/>
          <w:u w:color="000000"/>
          <w:lang w:val="it-IT"/>
        </w:rPr>
        <w:t>ggiudicatore</w:t>
      </w:r>
      <w:r>
        <w:rPr>
          <w:rFonts w:eastAsia="Arial Unicode MS"/>
          <w:color w:val="000000"/>
          <w:sz w:val="22"/>
          <w:szCs w:val="22"/>
          <w:u w:color="000000"/>
          <w:lang w:val="it-IT"/>
        </w:rPr>
        <w:t>, del relativo contributo a valere sul POI</w:t>
      </w:r>
      <w:r w:rsidR="00196B86" w:rsidRPr="00196B86">
        <w:rPr>
          <w:rFonts w:eastAsia="Arial Unicode MS"/>
          <w:color w:val="000000"/>
          <w:sz w:val="22"/>
          <w:szCs w:val="22"/>
          <w:u w:color="000000"/>
          <w:lang w:val="it-IT"/>
        </w:rPr>
        <w:t>.</w:t>
      </w:r>
    </w:p>
    <w:p w14:paraId="054982F0" w14:textId="2259A620" w:rsidR="00196B86" w:rsidRPr="007D62EC" w:rsidRDefault="00C53C43" w:rsidP="00C53C43">
      <w:pPr>
        <w:spacing w:after="200" w:line="360" w:lineRule="auto"/>
        <w:jc w:val="both"/>
        <w:outlineLvl w:val="0"/>
        <w:rPr>
          <w:rFonts w:eastAsia="Arial Unicode MS"/>
          <w:b/>
          <w:smallCaps/>
          <w:color w:val="000000"/>
          <w:sz w:val="22"/>
          <w:szCs w:val="22"/>
          <w:u w:color="000000"/>
          <w:lang w:val="it-IT"/>
        </w:rPr>
      </w:pPr>
      <w:r>
        <w:rPr>
          <w:rFonts w:eastAsia="Arial Unicode MS"/>
          <w:color w:val="000000"/>
          <w:sz w:val="22"/>
          <w:szCs w:val="22"/>
          <w:u w:color="000000"/>
          <w:lang w:val="it-IT"/>
        </w:rPr>
        <w:br w:type="page"/>
      </w:r>
      <w:r w:rsidR="00196B86" w:rsidRPr="00196B86">
        <w:rPr>
          <w:rFonts w:eastAsia="Arial Unicode MS"/>
          <w:b/>
          <w:smallCaps/>
          <w:color w:val="000000"/>
          <w:sz w:val="22"/>
          <w:szCs w:val="22"/>
          <w:u w:color="000000"/>
          <w:lang w:val="it-IT"/>
        </w:rPr>
        <w:lastRenderedPageBreak/>
        <w:t>Deroghe e/o integrazioni al Capitolato Standard</w:t>
      </w:r>
      <w:r w:rsidR="0089034B">
        <w:rPr>
          <w:rFonts w:eastAsia="Arial Unicode MS"/>
          <w:b/>
          <w:smallCaps/>
          <w:color w:val="000000"/>
          <w:sz w:val="22"/>
          <w:szCs w:val="22"/>
          <w:u w:color="000000"/>
          <w:lang w:val="it-IT"/>
        </w:rPr>
        <w:t xml:space="preserve"> MePA</w:t>
      </w:r>
    </w:p>
    <w:p w14:paraId="32BA83A8" w14:textId="0DAA0B46" w:rsidR="00C01452" w:rsidRPr="00176C5E" w:rsidRDefault="000954B0" w:rsidP="00226152">
      <w:pPr>
        <w:numPr>
          <w:ilvl w:val="0"/>
          <w:numId w:val="9"/>
        </w:numPr>
        <w:spacing w:after="240" w:line="360" w:lineRule="auto"/>
        <w:jc w:val="both"/>
        <w:outlineLvl w:val="0"/>
        <w:rPr>
          <w:rFonts w:eastAsia="Arial Unicode MS"/>
          <w:color w:val="000000"/>
          <w:sz w:val="22"/>
          <w:u w:color="000000"/>
          <w:lang w:val="it-IT"/>
        </w:rPr>
      </w:pPr>
      <w:r w:rsidRPr="00D05E04">
        <w:rPr>
          <w:rFonts w:eastAsia="Arial Unicode MS"/>
          <w:b/>
          <w:smallCaps/>
          <w:color w:val="000000"/>
          <w:sz w:val="22"/>
          <w:u w:color="000000"/>
          <w:lang w:val="it-IT"/>
        </w:rPr>
        <w:t>Procedura di Acquisto</w:t>
      </w:r>
      <w:r w:rsidRPr="00D05E04">
        <w:rPr>
          <w:rFonts w:eastAsia="Arial Unicode MS" w:hAnsi="Arial Unicode MS"/>
          <w:color w:val="000000"/>
          <w:sz w:val="22"/>
          <w:u w:color="000000"/>
          <w:lang w:val="it-IT"/>
        </w:rPr>
        <w:t xml:space="preserve">. </w:t>
      </w:r>
      <w:r w:rsidRPr="00D05E04">
        <w:rPr>
          <w:rFonts w:eastAsia="Arial Unicode MS"/>
          <w:color w:val="000000"/>
          <w:sz w:val="22"/>
          <w:u w:color="000000"/>
          <w:lang w:val="it-IT"/>
        </w:rPr>
        <w:t xml:space="preserve">La procedura di acquisto è </w:t>
      </w:r>
      <w:r w:rsidR="00236E89" w:rsidRPr="00D05E04">
        <w:rPr>
          <w:rFonts w:eastAsia="Arial Unicode MS"/>
          <w:color w:val="000000"/>
          <w:sz w:val="22"/>
          <w:u w:color="000000"/>
          <w:lang w:val="it-IT"/>
        </w:rPr>
        <w:t>attivabile esclusivamente tramite RDO, restando pertanto espressamente esclusi acquisti effettuati tramite ODA. Non troveranno quindi applicazione, nella presente procedura, le previsioni del Capitolato Standard</w:t>
      </w:r>
      <w:r w:rsidR="0089034B" w:rsidRPr="00D05E04">
        <w:rPr>
          <w:rFonts w:eastAsia="Arial Unicode MS"/>
          <w:color w:val="000000"/>
          <w:sz w:val="22"/>
          <w:u w:color="000000"/>
          <w:lang w:val="it-IT"/>
        </w:rPr>
        <w:t xml:space="preserve"> MePA</w:t>
      </w:r>
      <w:r w:rsidR="00236E89" w:rsidRPr="00D05E04">
        <w:rPr>
          <w:rFonts w:eastAsia="Arial Unicode MS"/>
          <w:color w:val="000000"/>
          <w:sz w:val="22"/>
          <w:u w:color="000000"/>
          <w:lang w:val="it-IT"/>
        </w:rPr>
        <w:t xml:space="preserve"> applicabili esclusivamente nel caso di ODA.</w:t>
      </w:r>
    </w:p>
    <w:p w14:paraId="48230E24" w14:textId="29983914" w:rsidR="00C01452" w:rsidRPr="00534F0C" w:rsidRDefault="00C01452" w:rsidP="00C01452">
      <w:pPr>
        <w:numPr>
          <w:ilvl w:val="0"/>
          <w:numId w:val="9"/>
        </w:numPr>
        <w:spacing w:after="200" w:line="360" w:lineRule="auto"/>
        <w:jc w:val="both"/>
        <w:outlineLvl w:val="0"/>
        <w:rPr>
          <w:rFonts w:eastAsia="Arial Unicode MS"/>
          <w:color w:val="000000"/>
          <w:sz w:val="22"/>
          <w:szCs w:val="22"/>
          <w:u w:color="000000"/>
          <w:lang w:val="it-IT"/>
        </w:rPr>
      </w:pPr>
      <w:r w:rsidRPr="00534F0C">
        <w:rPr>
          <w:rFonts w:eastAsia="Arial Unicode MS"/>
          <w:b/>
          <w:smallCaps/>
          <w:color w:val="000000"/>
          <w:sz w:val="22"/>
          <w:szCs w:val="22"/>
          <w:u w:color="000000"/>
          <w:lang w:val="it-IT"/>
        </w:rPr>
        <w:t>Sopralluogo.</w:t>
      </w:r>
      <w:r w:rsidRPr="00534F0C">
        <w:rPr>
          <w:rFonts w:eastAsia="Arial Unicode MS"/>
          <w:color w:val="000000"/>
          <w:sz w:val="22"/>
          <w:szCs w:val="22"/>
          <w:u w:color="000000"/>
          <w:lang w:val="it-IT"/>
        </w:rPr>
        <w:t xml:space="preserve"> Il sopralluogo sul </w:t>
      </w:r>
      <w:r w:rsidRPr="00226152">
        <w:rPr>
          <w:rFonts w:eastAsia="Arial Unicode MS"/>
          <w:color w:val="000000"/>
          <w:sz w:val="22"/>
          <w:szCs w:val="22"/>
          <w:u w:color="000000"/>
          <w:lang w:val="it-IT"/>
        </w:rPr>
        <w:t>sito di</w:t>
      </w:r>
      <w:r w:rsidR="00226152" w:rsidRPr="00226152">
        <w:rPr>
          <w:rFonts w:eastAsia="Arial Unicode MS"/>
          <w:color w:val="000000"/>
          <w:sz w:val="22"/>
          <w:szCs w:val="22"/>
          <w:u w:color="000000"/>
          <w:lang w:val="it-IT"/>
        </w:rPr>
        <w:t xml:space="preserve"> realizzazione dell’intervento</w:t>
      </w:r>
      <w:r w:rsidRPr="00534F0C">
        <w:rPr>
          <w:sz w:val="22"/>
          <w:szCs w:val="22"/>
          <w:lang w:val="it-IT"/>
        </w:rPr>
        <w:t xml:space="preserve"> </w:t>
      </w:r>
      <w:r w:rsidRPr="00534F0C">
        <w:rPr>
          <w:rFonts w:eastAsia="Arial Unicode MS"/>
          <w:color w:val="000000"/>
          <w:sz w:val="22"/>
          <w:szCs w:val="22"/>
          <w:u w:color="000000"/>
          <w:lang w:val="it-IT"/>
        </w:rPr>
        <w:t>deve essere effettuato, al fine di verificare la corrispondenza della fornitura offerta con le esigenze del Soggetto Aggiudicat</w:t>
      </w:r>
      <w:r w:rsidR="00F25F42">
        <w:rPr>
          <w:rFonts w:eastAsia="Arial Unicode MS"/>
          <w:color w:val="000000"/>
          <w:sz w:val="22"/>
          <w:szCs w:val="22"/>
          <w:u w:color="000000"/>
          <w:lang w:val="it-IT"/>
        </w:rPr>
        <w:t>ore</w:t>
      </w:r>
      <w:r w:rsidRPr="00534F0C">
        <w:rPr>
          <w:rFonts w:eastAsia="Arial Unicode MS"/>
          <w:color w:val="000000"/>
          <w:sz w:val="22"/>
          <w:szCs w:val="22"/>
          <w:u w:color="000000"/>
          <w:lang w:val="it-IT"/>
        </w:rPr>
        <w:t xml:space="preserve"> e il contesto fisico di riferimento, preliminarmente alla presentazione dell’offerta in risposta alla RDO.</w:t>
      </w:r>
    </w:p>
    <w:p w14:paraId="7E311BC3" w14:textId="708C24DA" w:rsidR="00CA6844" w:rsidRPr="00534F0C" w:rsidRDefault="00CA6844" w:rsidP="00CA6844">
      <w:pPr>
        <w:numPr>
          <w:ilvl w:val="0"/>
          <w:numId w:val="9"/>
        </w:numPr>
        <w:spacing w:after="200" w:line="360" w:lineRule="auto"/>
        <w:jc w:val="both"/>
        <w:outlineLvl w:val="0"/>
        <w:rPr>
          <w:rFonts w:eastAsia="Arial Unicode MS"/>
          <w:color w:val="000000"/>
          <w:sz w:val="22"/>
          <w:szCs w:val="22"/>
          <w:u w:color="000000"/>
          <w:lang w:val="it-IT"/>
        </w:rPr>
      </w:pPr>
      <w:r w:rsidRPr="00CA6844">
        <w:rPr>
          <w:rFonts w:eastAsia="Arial Unicode MS"/>
          <w:b/>
          <w:smallCaps/>
          <w:color w:val="000000"/>
          <w:sz w:val="22"/>
          <w:szCs w:val="22"/>
          <w:u w:color="000000"/>
          <w:lang w:val="it-IT"/>
        </w:rPr>
        <w:t>Offerta</w:t>
      </w:r>
      <w:r>
        <w:rPr>
          <w:rFonts w:eastAsia="Arial Unicode MS"/>
          <w:color w:val="000000"/>
          <w:sz w:val="22"/>
          <w:szCs w:val="22"/>
          <w:u w:color="000000"/>
          <w:lang w:val="it-IT"/>
        </w:rPr>
        <w:t xml:space="preserve">. </w:t>
      </w:r>
      <w:r w:rsidRPr="00C54536">
        <w:rPr>
          <w:rFonts w:eastAsia="Arial Unicode MS"/>
          <w:color w:val="000000"/>
          <w:sz w:val="22"/>
          <w:szCs w:val="22"/>
          <w:u w:color="000000"/>
          <w:lang w:val="it-IT"/>
        </w:rPr>
        <w:t>In</w:t>
      </w:r>
      <w:r>
        <w:rPr>
          <w:rFonts w:eastAsia="Arial Unicode MS"/>
          <w:color w:val="000000"/>
          <w:sz w:val="22"/>
          <w:szCs w:val="22"/>
          <w:u w:color="000000"/>
          <w:lang w:val="it-IT"/>
        </w:rPr>
        <w:t xml:space="preserve"> conformità a quanto previsto nella “</w:t>
      </w:r>
      <w:r w:rsidRPr="00C54536">
        <w:rPr>
          <w:rFonts w:eastAsia="Arial Unicode MS"/>
          <w:i/>
          <w:color w:val="000000"/>
          <w:sz w:val="22"/>
          <w:szCs w:val="22"/>
          <w:u w:color="000000"/>
          <w:lang w:val="it-IT"/>
        </w:rPr>
        <w:t>Tabella procedura</w:t>
      </w:r>
      <w:r>
        <w:rPr>
          <w:rFonts w:eastAsia="Arial Unicode MS"/>
          <w:color w:val="000000"/>
          <w:sz w:val="22"/>
          <w:szCs w:val="22"/>
          <w:u w:color="000000"/>
          <w:lang w:val="it-IT"/>
        </w:rPr>
        <w:t xml:space="preserve">” </w:t>
      </w:r>
      <w:r w:rsidRPr="00534F0C">
        <w:rPr>
          <w:rFonts w:eastAsia="Arial Unicode MS"/>
          <w:color w:val="000000"/>
          <w:sz w:val="22"/>
          <w:szCs w:val="22"/>
          <w:u w:color="000000"/>
          <w:lang w:val="it-IT"/>
        </w:rPr>
        <w:t>di cui al paragrafo 5.2 dell’Avviso</w:t>
      </w:r>
      <w:r>
        <w:rPr>
          <w:rFonts w:eastAsia="Arial Unicode MS"/>
          <w:color w:val="000000"/>
          <w:sz w:val="22"/>
          <w:szCs w:val="22"/>
          <w:u w:color="000000"/>
          <w:lang w:val="it-IT"/>
        </w:rPr>
        <w:t xml:space="preserve"> [</w:t>
      </w:r>
      <w:r w:rsidRPr="00064C19">
        <w:rPr>
          <w:rFonts w:eastAsia="Arial Unicode MS"/>
          <w:i/>
          <w:color w:val="000000"/>
          <w:sz w:val="22"/>
          <w:szCs w:val="22"/>
          <w:u w:color="000000"/>
          <w:lang w:val="it-IT"/>
        </w:rPr>
        <w:t>sub</w:t>
      </w:r>
      <w:r>
        <w:rPr>
          <w:rFonts w:eastAsia="Arial Unicode MS"/>
          <w:color w:val="000000"/>
          <w:sz w:val="22"/>
          <w:szCs w:val="22"/>
          <w:u w:color="000000"/>
          <w:lang w:val="it-IT"/>
        </w:rPr>
        <w:t xml:space="preserve"> Fase 1 </w:t>
      </w:r>
      <w:r w:rsidRPr="00B0740A">
        <w:rPr>
          <w:rFonts w:eastAsia="Arial Unicode MS"/>
          <w:color w:val="000000"/>
          <w:sz w:val="22"/>
          <w:szCs w:val="22"/>
          <w:u w:color="000000"/>
          <w:lang w:val="it-IT"/>
        </w:rPr>
        <w:t>(</w:t>
      </w:r>
      <w:r w:rsidRPr="00B0740A">
        <w:rPr>
          <w:rFonts w:eastAsia="Arial Unicode MS"/>
          <w:i/>
          <w:color w:val="000000"/>
          <w:sz w:val="22"/>
          <w:szCs w:val="22"/>
          <w:u w:color="000000"/>
          <w:lang w:val="it-IT"/>
        </w:rPr>
        <w:t>RDO (Richiesta di Offerta</w:t>
      </w:r>
      <w:r w:rsidRPr="00B0740A">
        <w:rPr>
          <w:rFonts w:eastAsia="Arial Unicode MS"/>
          <w:color w:val="000000"/>
          <w:sz w:val="22"/>
          <w:szCs w:val="22"/>
          <w:u w:color="000000"/>
          <w:lang w:val="it-IT"/>
        </w:rPr>
        <w:t>)</w:t>
      </w:r>
      <w:r>
        <w:rPr>
          <w:rFonts w:eastAsia="Arial Unicode MS"/>
          <w:color w:val="000000"/>
          <w:sz w:val="22"/>
          <w:szCs w:val="22"/>
          <w:u w:color="000000"/>
          <w:lang w:val="it-IT"/>
        </w:rPr>
        <w:t>)], a</w:t>
      </w:r>
      <w:r w:rsidRPr="00A37CA2">
        <w:rPr>
          <w:rFonts w:eastAsia="Cambria"/>
          <w:sz w:val="22"/>
          <w:szCs w:val="22"/>
          <w:lang w:val="it-IT"/>
        </w:rPr>
        <w:t>i fini dell’espletamento delle attività di istruttoria, verifica e controllo connesse al finanziamento a valere sul POI</w:t>
      </w:r>
      <w:r>
        <w:rPr>
          <w:rFonts w:eastAsia="Cambria"/>
          <w:sz w:val="22"/>
          <w:szCs w:val="22"/>
          <w:lang w:val="it-IT"/>
        </w:rPr>
        <w:t xml:space="preserve">, tramite la RDO sarà anche richiesto di presentare insieme all’offerta </w:t>
      </w:r>
      <w:r w:rsidRPr="00A37CA2">
        <w:rPr>
          <w:rFonts w:eastAsia="Cambria"/>
          <w:sz w:val="22"/>
          <w:szCs w:val="22"/>
          <w:lang w:val="it-IT"/>
        </w:rPr>
        <w:t>una dichiarazione autorizzativa</w:t>
      </w:r>
      <w:r w:rsidRPr="00C54536">
        <w:rPr>
          <w:rFonts w:eastAsia="Cambria"/>
          <w:sz w:val="22"/>
          <w:szCs w:val="22"/>
          <w:lang w:val="it-IT"/>
        </w:rPr>
        <w:t xml:space="preserve"> </w:t>
      </w:r>
      <w:r>
        <w:rPr>
          <w:rFonts w:eastAsia="Cambria"/>
          <w:sz w:val="22"/>
          <w:szCs w:val="22"/>
          <w:lang w:val="it-IT"/>
        </w:rPr>
        <w:t xml:space="preserve">con cui </w:t>
      </w:r>
      <w:r w:rsidRPr="00A37CA2">
        <w:rPr>
          <w:rFonts w:eastAsia="Cambria"/>
          <w:sz w:val="22"/>
          <w:szCs w:val="22"/>
          <w:lang w:val="it-IT"/>
        </w:rPr>
        <w:t>ciascun operatore economico offerente, subordinatamente alla eventuale stipulazione del contratto di fornitura, autorizz</w:t>
      </w:r>
      <w:r>
        <w:rPr>
          <w:rFonts w:eastAsia="Cambria"/>
          <w:sz w:val="22"/>
          <w:szCs w:val="22"/>
          <w:lang w:val="it-IT"/>
        </w:rPr>
        <w:t xml:space="preserve">i </w:t>
      </w:r>
      <w:r w:rsidRPr="00A37CA2">
        <w:rPr>
          <w:rFonts w:eastAsia="Cambria"/>
          <w:sz w:val="22"/>
          <w:szCs w:val="22"/>
          <w:lang w:val="it-IT"/>
        </w:rPr>
        <w:t xml:space="preserve">Consip S.p.A. e il </w:t>
      </w:r>
      <w:r w:rsidRPr="00A37CA2">
        <w:rPr>
          <w:sz w:val="22"/>
          <w:szCs w:val="22"/>
          <w:lang w:val="it-IT"/>
        </w:rPr>
        <w:t xml:space="preserve">Ministero dell’Economia e delle Finanze </w:t>
      </w:r>
      <w:r w:rsidRPr="00A37CA2">
        <w:rPr>
          <w:rFonts w:eastAsia="Cambria"/>
          <w:sz w:val="22"/>
          <w:szCs w:val="22"/>
          <w:lang w:val="it-IT"/>
        </w:rPr>
        <w:t>a trasferire copia di tale contratto (completo di tutti gli allegati) al MiSE-DGMEREEN e per esso anche ai soggetti che prestano assistenza tecnica al MiSE-DGMEREEN [</w:t>
      </w:r>
      <w:r>
        <w:rPr>
          <w:rFonts w:eastAsia="Cambria"/>
          <w:sz w:val="22"/>
          <w:szCs w:val="22"/>
          <w:lang w:val="it-IT"/>
        </w:rPr>
        <w:t xml:space="preserve">si vedano in proposito anche le connesse previsioni </w:t>
      </w:r>
      <w:r w:rsidRPr="00A37CA2">
        <w:rPr>
          <w:rFonts w:eastAsia="Cambria"/>
          <w:i/>
          <w:sz w:val="22"/>
          <w:szCs w:val="22"/>
          <w:lang w:val="it-IT"/>
        </w:rPr>
        <w:t>sub</w:t>
      </w:r>
      <w:r w:rsidRPr="00A37CA2">
        <w:rPr>
          <w:rFonts w:eastAsia="Cambria"/>
          <w:sz w:val="22"/>
          <w:szCs w:val="22"/>
          <w:lang w:val="it-IT"/>
        </w:rPr>
        <w:t xml:space="preserve"> Fase 3</w:t>
      </w:r>
      <w:r>
        <w:rPr>
          <w:rFonts w:eastAsia="Cambria"/>
          <w:sz w:val="22"/>
          <w:szCs w:val="22"/>
          <w:lang w:val="it-IT"/>
        </w:rPr>
        <w:t xml:space="preserve"> (</w:t>
      </w:r>
      <w:r w:rsidRPr="00B0740A">
        <w:rPr>
          <w:rFonts w:eastAsia="Cambria"/>
          <w:i/>
          <w:sz w:val="22"/>
          <w:szCs w:val="22"/>
          <w:lang w:val="it-IT"/>
        </w:rPr>
        <w:t>Offerte</w:t>
      </w:r>
      <w:r>
        <w:rPr>
          <w:rFonts w:eastAsia="Cambria"/>
          <w:sz w:val="22"/>
          <w:szCs w:val="22"/>
          <w:lang w:val="it-IT"/>
        </w:rPr>
        <w:t>)</w:t>
      </w:r>
      <w:r w:rsidRPr="00A37CA2">
        <w:rPr>
          <w:rFonts w:eastAsia="Cambria"/>
          <w:sz w:val="22"/>
          <w:szCs w:val="22"/>
          <w:lang w:val="it-IT"/>
        </w:rPr>
        <w:t xml:space="preserve"> e Fase 5 </w:t>
      </w:r>
      <w:r>
        <w:rPr>
          <w:rFonts w:eastAsia="Cambria"/>
          <w:sz w:val="22"/>
          <w:szCs w:val="22"/>
          <w:lang w:val="it-IT"/>
        </w:rPr>
        <w:t>(</w:t>
      </w:r>
      <w:r w:rsidRPr="00B0740A">
        <w:rPr>
          <w:rFonts w:eastAsia="Cambria"/>
          <w:i/>
          <w:sz w:val="22"/>
          <w:szCs w:val="22"/>
          <w:lang w:val="it-IT"/>
        </w:rPr>
        <w:t>Istanza di concessione di contributo</w:t>
      </w:r>
      <w:r>
        <w:rPr>
          <w:rFonts w:eastAsia="Cambria"/>
          <w:sz w:val="22"/>
          <w:szCs w:val="22"/>
          <w:lang w:val="it-IT"/>
        </w:rPr>
        <w:t>) della suddetta “</w:t>
      </w:r>
      <w:r w:rsidRPr="00064C19">
        <w:rPr>
          <w:rFonts w:eastAsia="Cambria"/>
          <w:i/>
          <w:sz w:val="22"/>
          <w:szCs w:val="22"/>
          <w:lang w:val="it-IT"/>
        </w:rPr>
        <w:t>Tabella procedura</w:t>
      </w:r>
      <w:r>
        <w:rPr>
          <w:rFonts w:eastAsia="Cambria"/>
          <w:sz w:val="22"/>
          <w:szCs w:val="22"/>
          <w:lang w:val="it-IT"/>
        </w:rPr>
        <w:t>” di cui al paragrafo 5</w:t>
      </w:r>
      <w:r w:rsidR="008655D1">
        <w:rPr>
          <w:rFonts w:eastAsia="Cambria"/>
          <w:sz w:val="22"/>
          <w:szCs w:val="22"/>
          <w:lang w:val="it-IT"/>
        </w:rPr>
        <w:t>.</w:t>
      </w:r>
      <w:r>
        <w:rPr>
          <w:rFonts w:eastAsia="Cambria"/>
          <w:sz w:val="22"/>
          <w:szCs w:val="22"/>
          <w:lang w:val="it-IT"/>
        </w:rPr>
        <w:t>2 dell’Avviso</w:t>
      </w:r>
      <w:r w:rsidRPr="00A37CA2">
        <w:rPr>
          <w:rFonts w:eastAsia="Cambria"/>
          <w:sz w:val="22"/>
          <w:szCs w:val="22"/>
          <w:lang w:val="it-IT"/>
        </w:rPr>
        <w:t>].</w:t>
      </w:r>
    </w:p>
    <w:p w14:paraId="1B563527" w14:textId="77777777" w:rsidR="00CA6844" w:rsidRPr="00CA6844" w:rsidRDefault="00176C5E" w:rsidP="00CA6844">
      <w:pPr>
        <w:numPr>
          <w:ilvl w:val="0"/>
          <w:numId w:val="9"/>
        </w:numPr>
        <w:spacing w:after="200" w:line="360" w:lineRule="auto"/>
        <w:jc w:val="both"/>
        <w:outlineLvl w:val="0"/>
        <w:rPr>
          <w:rFonts w:eastAsia="Arial Unicode MS"/>
          <w:color w:val="000000"/>
          <w:sz w:val="22"/>
          <w:szCs w:val="22"/>
          <w:u w:color="000000"/>
          <w:lang w:val="it-IT"/>
        </w:rPr>
      </w:pPr>
      <w:r w:rsidRPr="00CA6844">
        <w:rPr>
          <w:rFonts w:eastAsia="Arial Unicode MS"/>
          <w:b/>
          <w:smallCaps/>
          <w:color w:val="000000"/>
          <w:sz w:val="22"/>
          <w:szCs w:val="22"/>
          <w:u w:color="000000"/>
          <w:lang w:val="it-IT"/>
        </w:rPr>
        <w:t>Aggiudicazione</w:t>
      </w:r>
      <w:r w:rsidRPr="00CA6844">
        <w:rPr>
          <w:rFonts w:eastAsia="Arial Unicode MS"/>
          <w:b/>
          <w:color w:val="000000"/>
          <w:sz w:val="22"/>
          <w:szCs w:val="22"/>
          <w:u w:color="000000"/>
          <w:lang w:val="it-IT"/>
        </w:rPr>
        <w:t>.</w:t>
      </w:r>
      <w:r w:rsidRPr="003642CF">
        <w:rPr>
          <w:rFonts w:eastAsia="Arial Unicode MS"/>
          <w:color w:val="000000"/>
          <w:sz w:val="22"/>
          <w:szCs w:val="22"/>
          <w:u w:color="000000"/>
          <w:lang w:val="it-IT"/>
        </w:rPr>
        <w:t xml:space="preserve"> </w:t>
      </w:r>
      <w:r w:rsidR="00CA6844" w:rsidRPr="003642CF">
        <w:rPr>
          <w:rFonts w:eastAsia="Arial Unicode MS"/>
          <w:color w:val="000000"/>
          <w:sz w:val="22"/>
          <w:szCs w:val="22"/>
          <w:u w:color="000000"/>
          <w:lang w:val="it-IT"/>
        </w:rPr>
        <w:t>Con particolare riferimento alla aggiudicazione della RDO ed alla correlata tempistica di presentazione dell’istanza di concessione di contributo a valere sul POI, si rammentano le seguenti fasi (più dettagliatamente esplicate nella “</w:t>
      </w:r>
      <w:r w:rsidR="00CA6844" w:rsidRPr="003642CF">
        <w:rPr>
          <w:rFonts w:eastAsia="Arial Unicode MS"/>
          <w:i/>
          <w:color w:val="000000"/>
          <w:sz w:val="22"/>
          <w:szCs w:val="22"/>
          <w:u w:color="000000"/>
          <w:lang w:val="it-IT"/>
        </w:rPr>
        <w:t>Tabella procedura</w:t>
      </w:r>
      <w:r w:rsidR="00CA6844" w:rsidRPr="003642CF">
        <w:rPr>
          <w:rFonts w:eastAsia="Arial Unicode MS"/>
          <w:color w:val="000000"/>
          <w:sz w:val="22"/>
          <w:szCs w:val="22"/>
          <w:u w:color="000000"/>
          <w:lang w:val="it-IT"/>
        </w:rPr>
        <w:t xml:space="preserve">” di </w:t>
      </w:r>
      <w:r w:rsidR="00CA6844" w:rsidRPr="00F25F42">
        <w:rPr>
          <w:rFonts w:eastAsia="Arial Unicode MS"/>
          <w:color w:val="000000"/>
          <w:sz w:val="22"/>
          <w:szCs w:val="22"/>
          <w:u w:color="000000"/>
          <w:lang w:val="it-IT"/>
        </w:rPr>
        <w:t>cui al sopra citato paragrafo 5.2 dell’Avviso)</w:t>
      </w:r>
      <w:r w:rsidR="00CA6844" w:rsidRPr="00CA6844">
        <w:rPr>
          <w:rFonts w:eastAsia="Arial Unicode MS"/>
          <w:color w:val="000000"/>
          <w:sz w:val="22"/>
          <w:szCs w:val="22"/>
          <w:u w:color="000000"/>
          <w:lang w:val="it-IT"/>
        </w:rPr>
        <w:t xml:space="preserve"> della procedura preordinata alla presentazione di detta istanza:</w:t>
      </w:r>
    </w:p>
    <w:p w14:paraId="05E0BD45" w14:textId="77777777" w:rsidR="00CA6844" w:rsidRPr="00CA6844" w:rsidRDefault="00CA6844" w:rsidP="00CA6844">
      <w:pPr>
        <w:numPr>
          <w:ilvl w:val="0"/>
          <w:numId w:val="11"/>
        </w:numPr>
        <w:spacing w:after="200" w:line="360" w:lineRule="auto"/>
        <w:jc w:val="both"/>
        <w:outlineLvl w:val="0"/>
        <w:rPr>
          <w:rFonts w:eastAsia="Arial Unicode MS"/>
          <w:color w:val="000000"/>
          <w:sz w:val="22"/>
          <w:szCs w:val="22"/>
          <w:u w:color="000000"/>
          <w:lang w:val="it-IT"/>
        </w:rPr>
      </w:pPr>
      <w:r w:rsidRPr="00CA6844">
        <w:rPr>
          <w:rFonts w:eastAsia="Calibri"/>
          <w:b/>
          <w:sz w:val="22"/>
          <w:szCs w:val="22"/>
          <w:lang w:val="it-IT"/>
        </w:rPr>
        <w:t>Fase 4 (</w:t>
      </w:r>
      <w:r w:rsidRPr="00CA6844">
        <w:rPr>
          <w:rFonts w:eastAsia="Calibri"/>
          <w:b/>
          <w:i/>
          <w:sz w:val="22"/>
          <w:szCs w:val="22"/>
          <w:lang w:val="it-IT"/>
        </w:rPr>
        <w:t>Aggiudicazione “provvisoria”</w:t>
      </w:r>
      <w:r w:rsidRPr="00CA6844">
        <w:rPr>
          <w:rFonts w:eastAsia="Calibri"/>
          <w:b/>
          <w:sz w:val="22"/>
          <w:szCs w:val="22"/>
          <w:lang w:val="it-IT"/>
        </w:rPr>
        <w:t>)</w:t>
      </w:r>
      <w:r w:rsidRPr="00CA6844">
        <w:rPr>
          <w:rFonts w:eastAsia="Calibri"/>
          <w:sz w:val="22"/>
          <w:szCs w:val="22"/>
          <w:lang w:val="it-IT"/>
        </w:rPr>
        <w:t>.</w:t>
      </w:r>
      <w:r w:rsidRPr="00CA6844">
        <w:rPr>
          <w:rFonts w:eastAsia="Calibri"/>
          <w:b/>
          <w:sz w:val="22"/>
          <w:szCs w:val="22"/>
          <w:lang w:val="it-IT"/>
        </w:rPr>
        <w:t xml:space="preserve"> </w:t>
      </w:r>
      <w:r w:rsidRPr="00CA6844">
        <w:rPr>
          <w:rFonts w:eastAsia="Cambria"/>
          <w:sz w:val="22"/>
          <w:szCs w:val="22"/>
          <w:lang w:val="it-IT"/>
        </w:rPr>
        <w:t>Il Soggetto Aggiudicatore, per effetto dell’individuazione della miglior offerta, aggiudica “</w:t>
      </w:r>
      <w:r w:rsidRPr="00CA6844">
        <w:rPr>
          <w:rFonts w:eastAsia="Cambria"/>
          <w:b/>
          <w:sz w:val="22"/>
          <w:szCs w:val="22"/>
          <w:lang w:val="it-IT"/>
        </w:rPr>
        <w:t>provvisoriamente</w:t>
      </w:r>
      <w:r w:rsidRPr="00CA6844">
        <w:rPr>
          <w:rFonts w:eastAsia="Cambria"/>
          <w:sz w:val="22"/>
          <w:szCs w:val="22"/>
          <w:lang w:val="it-IT"/>
        </w:rPr>
        <w:t>” la relativa procedura MePA.</w:t>
      </w:r>
    </w:p>
    <w:p w14:paraId="65F9CBB0" w14:textId="7BE220BD" w:rsidR="00176C5E" w:rsidRPr="003642CF" w:rsidRDefault="00CA6844" w:rsidP="00CA6844">
      <w:pPr>
        <w:numPr>
          <w:ilvl w:val="0"/>
          <w:numId w:val="11"/>
        </w:numPr>
        <w:spacing w:after="200" w:line="360" w:lineRule="auto"/>
        <w:jc w:val="both"/>
        <w:outlineLvl w:val="0"/>
        <w:rPr>
          <w:rFonts w:eastAsia="Arial Unicode MS"/>
          <w:color w:val="000000"/>
          <w:sz w:val="22"/>
          <w:szCs w:val="22"/>
          <w:u w:color="000000"/>
          <w:lang w:val="it-IT"/>
        </w:rPr>
      </w:pPr>
      <w:r w:rsidRPr="00CA6844">
        <w:rPr>
          <w:rFonts w:eastAsia="Arial Unicode MS"/>
          <w:b/>
          <w:color w:val="000000"/>
          <w:sz w:val="22"/>
          <w:szCs w:val="22"/>
          <w:u w:color="000000"/>
          <w:lang w:val="it-IT"/>
        </w:rPr>
        <w:t>Fase 5 (</w:t>
      </w:r>
      <w:r w:rsidRPr="00CA6844">
        <w:rPr>
          <w:b/>
          <w:i/>
          <w:sz w:val="22"/>
          <w:szCs w:val="22"/>
          <w:lang w:val="it-IT"/>
        </w:rPr>
        <w:t>Istanza di concessione di contributo</w:t>
      </w:r>
      <w:r w:rsidRPr="00CA6844">
        <w:rPr>
          <w:b/>
          <w:sz w:val="22"/>
          <w:szCs w:val="22"/>
          <w:lang w:val="it-IT"/>
        </w:rPr>
        <w:t>)</w:t>
      </w:r>
      <w:r w:rsidRPr="00CA6844">
        <w:rPr>
          <w:sz w:val="22"/>
          <w:szCs w:val="22"/>
          <w:lang w:val="it-IT"/>
        </w:rPr>
        <w:t xml:space="preserve">. </w:t>
      </w:r>
      <w:r w:rsidRPr="00CA6844">
        <w:rPr>
          <w:rFonts w:eastAsia="Cambria"/>
          <w:sz w:val="22"/>
          <w:szCs w:val="22"/>
          <w:lang w:val="it-IT"/>
        </w:rPr>
        <w:t xml:space="preserve">Subordinatamente all’aggiudicazione provvisoria, il Soggetto </w:t>
      </w:r>
      <w:r w:rsidRPr="00CA6844">
        <w:rPr>
          <w:sz w:val="22"/>
          <w:szCs w:val="22"/>
          <w:lang w:val="it-IT"/>
        </w:rPr>
        <w:t>Aggiudicatore</w:t>
      </w:r>
      <w:r w:rsidRPr="00CA6844">
        <w:rPr>
          <w:rFonts w:eastAsia="Cambria"/>
          <w:sz w:val="22"/>
          <w:szCs w:val="22"/>
          <w:lang w:val="it-IT"/>
        </w:rPr>
        <w:t xml:space="preserve"> presenta l’istanza di concessione di  contributo.</w:t>
      </w:r>
    </w:p>
    <w:p w14:paraId="3B080B96" w14:textId="27ED0151" w:rsidR="00176C5E" w:rsidRPr="00176C5E" w:rsidRDefault="00176C5E" w:rsidP="00226152">
      <w:pPr>
        <w:numPr>
          <w:ilvl w:val="0"/>
          <w:numId w:val="9"/>
        </w:numPr>
        <w:spacing w:after="240" w:line="360" w:lineRule="auto"/>
        <w:jc w:val="both"/>
        <w:outlineLvl w:val="0"/>
        <w:rPr>
          <w:rFonts w:eastAsia="Arial Unicode MS"/>
          <w:color w:val="000000"/>
          <w:sz w:val="22"/>
          <w:szCs w:val="22"/>
          <w:u w:color="000000"/>
          <w:lang w:val="it-IT"/>
        </w:rPr>
      </w:pPr>
      <w:r w:rsidRPr="00176C5E">
        <w:rPr>
          <w:rFonts w:eastAsia="Arial Unicode MS"/>
          <w:b/>
          <w:smallCaps/>
          <w:color w:val="000000"/>
          <w:sz w:val="22"/>
          <w:u w:color="000000"/>
          <w:lang w:val="it-IT"/>
        </w:rPr>
        <w:t>Quietanza</w:t>
      </w:r>
      <w:r w:rsidRPr="00176C5E">
        <w:rPr>
          <w:rFonts w:eastAsia="Arial Unicode MS"/>
          <w:b/>
          <w:smallCaps/>
          <w:color w:val="000000"/>
          <w:sz w:val="22"/>
          <w:szCs w:val="22"/>
          <w:u w:color="000000"/>
          <w:lang w:val="it-IT"/>
        </w:rPr>
        <w:t xml:space="preserve"> liberatoria. </w:t>
      </w:r>
      <w:r w:rsidRPr="00176C5E">
        <w:rPr>
          <w:rFonts w:eastAsia="Arial Unicode MS"/>
          <w:color w:val="000000"/>
          <w:sz w:val="22"/>
          <w:szCs w:val="22"/>
          <w:u w:color="000000"/>
          <w:lang w:val="it-IT"/>
        </w:rPr>
        <w:t xml:space="preserve">Il Fornitore, con riferimento all’obbligo ricadente sul Soggetto Aggiudicatore ai sensi del paragrafo </w:t>
      </w:r>
      <w:r w:rsidRPr="00F76FFB">
        <w:rPr>
          <w:rFonts w:eastAsia="Arial Unicode MS"/>
          <w:color w:val="000000"/>
          <w:sz w:val="22"/>
          <w:szCs w:val="22"/>
          <w:u w:color="000000"/>
          <w:lang w:val="it-IT"/>
        </w:rPr>
        <w:t>9.3(ii)</w:t>
      </w:r>
      <w:r w:rsidR="00E53CDA" w:rsidRPr="00F76FFB">
        <w:rPr>
          <w:rFonts w:eastAsia="Arial Unicode MS"/>
          <w:color w:val="000000"/>
          <w:sz w:val="22"/>
          <w:szCs w:val="22"/>
          <w:u w:color="000000"/>
          <w:lang w:val="it-IT"/>
        </w:rPr>
        <w:t>(1)</w:t>
      </w:r>
      <w:r w:rsidR="003642CF" w:rsidRPr="00F76FFB">
        <w:rPr>
          <w:rFonts w:eastAsia="Arial Unicode MS"/>
          <w:color w:val="000000"/>
          <w:sz w:val="22"/>
          <w:szCs w:val="22"/>
          <w:u w:color="000000"/>
          <w:lang w:val="it-IT"/>
        </w:rPr>
        <w:t>(</w:t>
      </w:r>
      <w:r w:rsidR="00532AEB" w:rsidRPr="00F76FFB">
        <w:rPr>
          <w:rFonts w:eastAsia="Arial Unicode MS"/>
          <w:color w:val="000000"/>
          <w:sz w:val="22"/>
          <w:szCs w:val="22"/>
          <w:u w:color="000000"/>
          <w:lang w:val="it-IT"/>
        </w:rPr>
        <w:t>d</w:t>
      </w:r>
      <w:r w:rsidR="003642CF" w:rsidRPr="00F76FFB">
        <w:rPr>
          <w:rFonts w:eastAsia="Arial Unicode MS"/>
          <w:color w:val="000000"/>
          <w:sz w:val="22"/>
          <w:szCs w:val="22"/>
          <w:u w:color="000000"/>
          <w:lang w:val="it-IT"/>
        </w:rPr>
        <w:t>)</w:t>
      </w:r>
      <w:r w:rsidRPr="00F76FFB">
        <w:rPr>
          <w:rFonts w:eastAsia="Arial Unicode MS"/>
          <w:color w:val="000000"/>
          <w:sz w:val="22"/>
          <w:szCs w:val="22"/>
          <w:u w:color="000000"/>
          <w:lang w:val="it-IT"/>
        </w:rPr>
        <w:t xml:space="preserve"> dell’Avviso,</w:t>
      </w:r>
      <w:r w:rsidRPr="00176C5E">
        <w:rPr>
          <w:rFonts w:eastAsia="Arial Unicode MS"/>
          <w:color w:val="000000"/>
          <w:sz w:val="22"/>
          <w:szCs w:val="22"/>
          <w:u w:color="000000"/>
          <w:lang w:val="it-IT"/>
        </w:rPr>
        <w:t xml:space="preserve"> il cui adempimento necessita di un corrispondente adempimento del Fornitore, si impegna nei confronti del Soggetto Aggiudicatore a rilasciare nei confronti di quest’ultimo, e a trasmettere allo stesso, entro e non oltre cinque (5) giorni dall’avvenuto pagamento della fattura, la relativa </w:t>
      </w:r>
      <w:r w:rsidRPr="00176C5E">
        <w:rPr>
          <w:sz w:val="22"/>
          <w:szCs w:val="22"/>
          <w:lang w:val="it-IT"/>
        </w:rPr>
        <w:t>quietanza liberatoria.</w:t>
      </w:r>
    </w:p>
    <w:p w14:paraId="3EB13B81" w14:textId="56C5FE7C" w:rsidR="004E060D" w:rsidRPr="0093372C" w:rsidRDefault="00176C5E" w:rsidP="00226152">
      <w:pPr>
        <w:numPr>
          <w:ilvl w:val="0"/>
          <w:numId w:val="9"/>
        </w:numPr>
        <w:spacing w:after="240" w:line="360" w:lineRule="auto"/>
        <w:jc w:val="both"/>
        <w:outlineLvl w:val="0"/>
        <w:rPr>
          <w:rFonts w:eastAsia="Arial Unicode MS"/>
          <w:color w:val="000000"/>
          <w:sz w:val="22"/>
          <w:szCs w:val="22"/>
          <w:u w:color="000000"/>
          <w:lang w:val="it-IT"/>
        </w:rPr>
      </w:pPr>
      <w:r w:rsidRPr="0093372C">
        <w:rPr>
          <w:rFonts w:eastAsia="Arial Unicode MS"/>
          <w:b/>
          <w:smallCaps/>
          <w:color w:val="000000"/>
          <w:sz w:val="22"/>
          <w:u w:color="000000"/>
          <w:lang w:val="it-IT"/>
        </w:rPr>
        <w:t>Misure</w:t>
      </w:r>
      <w:r w:rsidRPr="0093372C">
        <w:rPr>
          <w:rFonts w:eastAsia="Arial Unicode MS"/>
          <w:b/>
          <w:smallCaps/>
          <w:color w:val="000000"/>
          <w:sz w:val="22"/>
          <w:szCs w:val="22"/>
          <w:u w:color="000000"/>
          <w:lang w:val="it-IT"/>
        </w:rPr>
        <w:t xml:space="preserve"> </w:t>
      </w:r>
      <w:r w:rsidRPr="0093372C">
        <w:rPr>
          <w:rFonts w:eastAsia="Arial Unicode MS"/>
          <w:b/>
          <w:smallCaps/>
          <w:color w:val="000000"/>
          <w:sz w:val="22"/>
          <w:u w:color="000000"/>
          <w:lang w:val="it-IT"/>
        </w:rPr>
        <w:t>per</w:t>
      </w:r>
      <w:r w:rsidRPr="0093372C">
        <w:rPr>
          <w:rFonts w:eastAsia="Arial Unicode MS"/>
          <w:b/>
          <w:smallCaps/>
          <w:color w:val="000000"/>
          <w:sz w:val="22"/>
          <w:szCs w:val="22"/>
          <w:u w:color="000000"/>
          <w:lang w:val="it-IT"/>
        </w:rPr>
        <w:t xml:space="preserve"> la legalità</w:t>
      </w:r>
      <w:r w:rsidRPr="0093372C">
        <w:rPr>
          <w:rFonts w:eastAsia="Arial Unicode MS"/>
          <w:b/>
          <w:color w:val="000000"/>
          <w:sz w:val="22"/>
          <w:szCs w:val="22"/>
          <w:u w:color="000000"/>
          <w:lang w:val="it-IT"/>
        </w:rPr>
        <w:t>.</w:t>
      </w:r>
      <w:r w:rsidRPr="0093372C">
        <w:rPr>
          <w:rFonts w:eastAsia="Arial Unicode MS"/>
          <w:color w:val="000000"/>
          <w:sz w:val="22"/>
          <w:szCs w:val="22"/>
          <w:u w:color="000000"/>
          <w:lang w:val="it-IT"/>
        </w:rPr>
        <w:t xml:space="preserve"> Il Soggetto Aggiudicatore ed il Fornitore, ciascuno per quanto di propria competenza, si obbligano a r</w:t>
      </w:r>
      <w:r w:rsidRPr="0093372C">
        <w:rPr>
          <w:sz w:val="22"/>
          <w:szCs w:val="22"/>
          <w:lang w:val="it-IT"/>
        </w:rPr>
        <w:t xml:space="preserve">ispettare le misure per la legalità alle quali gli stessi siano soggetti (es. Protocollo di Legalità. Tale obbligo è da intendersi assunto dal Fornitore anche ai sensi dell’art. 1381, </w:t>
      </w:r>
      <w:r w:rsidRPr="0093372C">
        <w:rPr>
          <w:sz w:val="22"/>
          <w:szCs w:val="22"/>
          <w:lang w:val="it-IT"/>
        </w:rPr>
        <w:lastRenderedPageBreak/>
        <w:t>cod. civ., il quale, per l’effetto, assume l’obbligo di far osservare le suddette misure per la legalità anche ai propri subappaltatori, subcontraenti e/o fornitori.</w:t>
      </w:r>
    </w:p>
    <w:p w14:paraId="30449EAD" w14:textId="1380BE07" w:rsidR="004E060D" w:rsidRDefault="00412700" w:rsidP="00BB1CF3">
      <w:pPr>
        <w:numPr>
          <w:ilvl w:val="0"/>
          <w:numId w:val="9"/>
        </w:numPr>
        <w:spacing w:after="200" w:line="360" w:lineRule="auto"/>
        <w:jc w:val="both"/>
        <w:outlineLvl w:val="0"/>
        <w:rPr>
          <w:rFonts w:eastAsia="Arial Unicode MS"/>
          <w:color w:val="000000"/>
          <w:sz w:val="22"/>
          <w:u w:color="000000"/>
          <w:lang w:val="it-IT"/>
        </w:rPr>
      </w:pPr>
      <w:r w:rsidRPr="00865B4D">
        <w:rPr>
          <w:rFonts w:eastAsia="Arial Unicode MS"/>
          <w:b/>
          <w:smallCaps/>
          <w:color w:val="000000"/>
          <w:sz w:val="22"/>
          <w:u w:color="000000"/>
          <w:lang w:val="it-IT"/>
        </w:rPr>
        <w:t>Tempistica</w:t>
      </w:r>
      <w:r w:rsidRPr="004E060D">
        <w:rPr>
          <w:rFonts w:eastAsia="Arial Unicode MS"/>
          <w:b/>
          <w:smallCaps/>
          <w:color w:val="000000"/>
          <w:sz w:val="22"/>
          <w:u w:color="000000"/>
          <w:lang w:val="it-IT"/>
        </w:rPr>
        <w:t>.</w:t>
      </w:r>
      <w:r w:rsidR="00FB26B1" w:rsidRPr="004E060D">
        <w:rPr>
          <w:rFonts w:eastAsia="Arial Unicode MS"/>
          <w:color w:val="000000"/>
          <w:sz w:val="22"/>
          <w:u w:color="000000"/>
          <w:lang w:val="it-IT"/>
        </w:rPr>
        <w:t xml:space="preserve"> I</w:t>
      </w:r>
      <w:r w:rsidRPr="004E060D">
        <w:rPr>
          <w:rFonts w:eastAsia="Arial Unicode MS"/>
          <w:color w:val="000000"/>
          <w:sz w:val="22"/>
          <w:u w:color="000000"/>
          <w:lang w:val="it-IT"/>
        </w:rPr>
        <w:t xml:space="preserve"> tempi</w:t>
      </w:r>
      <w:r w:rsidR="00FB26B1" w:rsidRPr="004E060D">
        <w:rPr>
          <w:rFonts w:eastAsia="Arial Unicode MS"/>
          <w:color w:val="000000"/>
          <w:sz w:val="22"/>
          <w:u w:color="000000"/>
          <w:lang w:val="it-IT"/>
        </w:rPr>
        <w:t xml:space="preserve"> di fornitura</w:t>
      </w:r>
      <w:r w:rsidRPr="004E060D">
        <w:rPr>
          <w:rFonts w:eastAsia="Arial Unicode MS"/>
          <w:color w:val="000000"/>
          <w:sz w:val="22"/>
          <w:u w:color="000000"/>
          <w:lang w:val="it-IT"/>
        </w:rPr>
        <w:t xml:space="preserve"> sono da intendersi espressi in </w:t>
      </w:r>
      <w:r w:rsidR="00137AA7" w:rsidRPr="004E060D">
        <w:rPr>
          <w:rFonts w:eastAsia="Arial Unicode MS"/>
          <w:color w:val="000000"/>
          <w:sz w:val="22"/>
          <w:u w:color="000000"/>
          <w:lang w:val="it-IT"/>
        </w:rPr>
        <w:t>“</w:t>
      </w:r>
      <w:r w:rsidRPr="004E060D">
        <w:rPr>
          <w:rFonts w:eastAsia="Arial Unicode MS"/>
          <w:color w:val="000000"/>
          <w:sz w:val="22"/>
          <w:u w:color="000000"/>
          <w:lang w:val="it-IT"/>
        </w:rPr>
        <w:t>giorni solari</w:t>
      </w:r>
      <w:r w:rsidR="00137AA7" w:rsidRPr="004E060D">
        <w:rPr>
          <w:rFonts w:eastAsia="Arial Unicode MS"/>
          <w:color w:val="000000"/>
          <w:sz w:val="22"/>
          <w:u w:color="000000"/>
          <w:lang w:val="it-IT"/>
        </w:rPr>
        <w:t>”</w:t>
      </w:r>
      <w:r w:rsidRPr="004E060D">
        <w:rPr>
          <w:rFonts w:eastAsia="Arial Unicode MS"/>
          <w:color w:val="000000"/>
          <w:sz w:val="22"/>
          <w:u w:color="000000"/>
          <w:lang w:val="it-IT"/>
        </w:rPr>
        <w:t xml:space="preserve">. </w:t>
      </w:r>
      <w:r w:rsidR="00D72FBB" w:rsidRPr="004E060D">
        <w:rPr>
          <w:rFonts w:eastAsia="Arial Unicode MS"/>
          <w:color w:val="000000"/>
          <w:sz w:val="22"/>
          <w:u w:color="000000"/>
          <w:lang w:val="it-IT"/>
        </w:rPr>
        <w:t>La tempistica di consegna del bene non può superare i 60 (sessan</w:t>
      </w:r>
      <w:r w:rsidR="004E060D">
        <w:rPr>
          <w:rFonts w:eastAsia="Arial Unicode MS"/>
          <w:color w:val="000000"/>
          <w:sz w:val="22"/>
          <w:u w:color="000000"/>
          <w:lang w:val="it-IT"/>
        </w:rPr>
        <w:t>ta) giorni solari</w:t>
      </w:r>
      <w:r w:rsidR="003642CF">
        <w:rPr>
          <w:rFonts w:eastAsia="Arial Unicode MS"/>
          <w:color w:val="000000"/>
          <w:sz w:val="22"/>
          <w:u w:color="000000"/>
          <w:lang w:val="it-IT"/>
        </w:rPr>
        <w:t xml:space="preserve"> dalla data di stipula del relativo contratto di fornitura</w:t>
      </w:r>
      <w:r w:rsidR="004E060D">
        <w:rPr>
          <w:rFonts w:eastAsia="Arial Unicode MS"/>
          <w:color w:val="000000"/>
          <w:sz w:val="22"/>
          <w:u w:color="000000"/>
          <w:lang w:val="it-IT"/>
        </w:rPr>
        <w:t>.</w:t>
      </w:r>
    </w:p>
    <w:p w14:paraId="07F2630C" w14:textId="77777777" w:rsidR="003642CF" w:rsidRPr="003642CF" w:rsidRDefault="003642CF" w:rsidP="003642CF">
      <w:pPr>
        <w:spacing w:after="200" w:line="360" w:lineRule="auto"/>
        <w:ind w:left="360"/>
        <w:jc w:val="both"/>
        <w:outlineLvl w:val="0"/>
        <w:rPr>
          <w:rFonts w:eastAsia="Arial Unicode MS"/>
          <w:color w:val="000000"/>
          <w:sz w:val="22"/>
          <w:szCs w:val="22"/>
          <w:u w:color="000000"/>
          <w:lang w:val="it-IT"/>
        </w:rPr>
      </w:pPr>
      <w:r w:rsidRPr="003642CF">
        <w:rPr>
          <w:rFonts w:eastAsia="Arial Unicode MS"/>
          <w:color w:val="000000"/>
          <w:sz w:val="22"/>
          <w:szCs w:val="22"/>
          <w:u w:color="000000"/>
          <w:lang w:val="it-IT"/>
        </w:rPr>
        <w:t>Quanto precede, restando inteso che il Soggetto Aggiudicatore, in aggiunta gli ulteriori obblighi previsti dall’Avviso, è tra l’altro tenuto, pena la revoca del contributo ai sensi dell’articolo 11 dell’Avviso:</w:t>
      </w:r>
    </w:p>
    <w:p w14:paraId="78CE73FC" w14:textId="687FE81C" w:rsidR="003642CF" w:rsidRPr="003642CF" w:rsidRDefault="003642CF" w:rsidP="003642CF">
      <w:pPr>
        <w:pStyle w:val="Paragrafoelenco"/>
        <w:numPr>
          <w:ilvl w:val="0"/>
          <w:numId w:val="11"/>
        </w:numPr>
        <w:spacing w:after="200" w:line="360" w:lineRule="auto"/>
        <w:jc w:val="both"/>
        <w:outlineLvl w:val="0"/>
        <w:rPr>
          <w:rFonts w:eastAsia="Arial Unicode MS"/>
          <w:color w:val="000000"/>
          <w:sz w:val="22"/>
          <w:szCs w:val="22"/>
          <w:u w:color="000000"/>
          <w:lang w:val="it-IT"/>
        </w:rPr>
      </w:pPr>
      <w:r w:rsidRPr="003642CF">
        <w:rPr>
          <w:rFonts w:eastAsia="Arial Unicode MS"/>
          <w:color w:val="000000"/>
          <w:sz w:val="22"/>
          <w:szCs w:val="22"/>
          <w:u w:color="000000"/>
          <w:lang w:val="it-IT"/>
        </w:rPr>
        <w:t xml:space="preserve">a far sì (a) che il(/i) contratto(/i) di fornitura dei prodotti POI, funzionale(/i) a realizzare l’intervento finanziato, sia(/no) stipulato(/i) entro </w:t>
      </w:r>
      <w:r w:rsidR="00532AEB">
        <w:rPr>
          <w:rFonts w:eastAsia="Arial Unicode MS"/>
          <w:color w:val="000000"/>
          <w:sz w:val="22"/>
          <w:szCs w:val="22"/>
          <w:u w:color="000000"/>
          <w:lang w:val="it-IT"/>
        </w:rPr>
        <w:t>trenta</w:t>
      </w:r>
      <w:r w:rsidRPr="003642CF">
        <w:rPr>
          <w:rFonts w:eastAsia="Arial Unicode MS"/>
          <w:color w:val="000000"/>
          <w:sz w:val="22"/>
          <w:szCs w:val="22"/>
          <w:u w:color="000000"/>
          <w:lang w:val="it-IT"/>
        </w:rPr>
        <w:t xml:space="preserve"> (</w:t>
      </w:r>
      <w:r w:rsidR="00532AEB">
        <w:rPr>
          <w:rFonts w:eastAsia="Arial Unicode MS"/>
          <w:color w:val="000000"/>
          <w:sz w:val="22"/>
          <w:szCs w:val="22"/>
          <w:u w:color="000000"/>
          <w:lang w:val="it-IT"/>
        </w:rPr>
        <w:t>30</w:t>
      </w:r>
      <w:r w:rsidRPr="003642CF">
        <w:rPr>
          <w:rFonts w:eastAsia="Arial Unicode MS"/>
          <w:color w:val="000000"/>
          <w:sz w:val="22"/>
          <w:szCs w:val="22"/>
          <w:u w:color="000000"/>
          <w:lang w:val="it-IT"/>
        </w:rPr>
        <w:t xml:space="preserve">) giorni dalla data di notifica al Soggetto Aggiudicatore del provvedimento di concessione del contributo, e (b) che le spese ammissibili relative all’intervento finanziato siano pagate al Fornitore </w:t>
      </w:r>
      <w:r w:rsidR="0003257C">
        <w:rPr>
          <w:rFonts w:eastAsia="Arial Unicode MS"/>
          <w:color w:val="000000"/>
          <w:sz w:val="22"/>
          <w:szCs w:val="22"/>
          <w:u w:color="000000"/>
          <w:lang w:val="it-IT"/>
        </w:rPr>
        <w:t xml:space="preserve">e debitamente quietanzate </w:t>
      </w:r>
      <w:r w:rsidRPr="003642CF">
        <w:rPr>
          <w:rFonts w:eastAsia="Arial Unicode MS"/>
          <w:color w:val="000000"/>
          <w:sz w:val="22"/>
          <w:szCs w:val="22"/>
          <w:u w:color="000000"/>
          <w:lang w:val="it-IT"/>
        </w:rPr>
        <w:t>entro e non oltre il termine del 31 dicembre 2015, in conformità alla tempistica imposta dalla Normativa sull’Ammissibilità, Rendicontazione e Certificazione delle Spese (come definita nell’Avviso); e</w:t>
      </w:r>
    </w:p>
    <w:p w14:paraId="4D06DEAB" w14:textId="5C264AFD" w:rsidR="003642CF" w:rsidRPr="003642CF" w:rsidRDefault="003642CF" w:rsidP="003642CF">
      <w:pPr>
        <w:pStyle w:val="Paragrafoelenco"/>
        <w:numPr>
          <w:ilvl w:val="0"/>
          <w:numId w:val="11"/>
        </w:numPr>
        <w:spacing w:after="200" w:line="360" w:lineRule="auto"/>
        <w:jc w:val="both"/>
        <w:outlineLvl w:val="0"/>
        <w:rPr>
          <w:rFonts w:eastAsia="Arial Unicode MS"/>
          <w:color w:val="000000"/>
          <w:sz w:val="22"/>
          <w:szCs w:val="22"/>
          <w:u w:color="000000"/>
          <w:lang w:val="it-IT"/>
        </w:rPr>
      </w:pPr>
      <w:r w:rsidRPr="003642CF">
        <w:rPr>
          <w:rFonts w:eastAsia="Arial Unicode MS"/>
          <w:color w:val="000000"/>
          <w:sz w:val="22"/>
          <w:szCs w:val="22"/>
          <w:u w:color="000000"/>
          <w:lang w:val="it-IT"/>
        </w:rPr>
        <w:t xml:space="preserve">a presentare al MiSE-DGMEREEN, ai sensi del paragrafo 9.2, secondo capoverso, dell’Avviso, la richiesta di accredito del contributo entro il </w:t>
      </w:r>
      <w:r w:rsidRPr="00B659F2">
        <w:rPr>
          <w:rFonts w:eastAsia="Arial Unicode MS"/>
          <w:color w:val="000000"/>
          <w:sz w:val="22"/>
          <w:u w:color="000000"/>
          <w:lang w:val="it-IT"/>
        </w:rPr>
        <w:t>15 novembre 2015</w:t>
      </w:r>
      <w:r w:rsidRPr="003642CF">
        <w:rPr>
          <w:rFonts w:eastAsia="Arial Unicode MS"/>
          <w:color w:val="000000"/>
          <w:sz w:val="22"/>
          <w:szCs w:val="22"/>
          <w:u w:color="000000"/>
          <w:lang w:val="it-IT"/>
        </w:rPr>
        <w:t>.</w:t>
      </w:r>
    </w:p>
    <w:p w14:paraId="53883261" w14:textId="04C0C12E" w:rsidR="00176C5E" w:rsidRPr="00D777B4" w:rsidRDefault="00CF28E7" w:rsidP="00226152">
      <w:pPr>
        <w:numPr>
          <w:ilvl w:val="0"/>
          <w:numId w:val="9"/>
        </w:numPr>
        <w:spacing w:after="240" w:line="360" w:lineRule="auto"/>
        <w:jc w:val="both"/>
        <w:outlineLvl w:val="0"/>
        <w:rPr>
          <w:rFonts w:eastAsia="Arial Unicode MS"/>
          <w:color w:val="000000"/>
          <w:sz w:val="22"/>
          <w:szCs w:val="22"/>
          <w:u w:color="000000"/>
          <w:lang w:val="it-IT"/>
        </w:rPr>
      </w:pPr>
      <w:r w:rsidRPr="00E83243">
        <w:rPr>
          <w:rFonts w:eastAsia="Arial Unicode MS"/>
          <w:b/>
          <w:smallCaps/>
          <w:color w:val="000000"/>
          <w:sz w:val="22"/>
          <w:u w:color="000000"/>
          <w:lang w:val="it-IT"/>
        </w:rPr>
        <w:t>Fatturazione</w:t>
      </w:r>
      <w:r w:rsidR="00CE48A7" w:rsidRPr="00E83243">
        <w:rPr>
          <w:rFonts w:eastAsia="Arial Unicode MS"/>
          <w:b/>
          <w:smallCaps/>
          <w:color w:val="000000"/>
          <w:sz w:val="22"/>
          <w:u w:color="000000"/>
          <w:lang w:val="it-IT"/>
        </w:rPr>
        <w:t>.</w:t>
      </w:r>
      <w:r w:rsidR="006B19FE" w:rsidRPr="00E83243">
        <w:rPr>
          <w:rFonts w:eastAsia="Arial Unicode MS" w:hAnsi="Arial Unicode MS"/>
          <w:color w:val="000000"/>
          <w:sz w:val="22"/>
          <w:u w:color="000000"/>
          <w:lang w:val="it-IT"/>
        </w:rPr>
        <w:t xml:space="preserve"> </w:t>
      </w:r>
      <w:r w:rsidR="0061077B" w:rsidRPr="008A7B02">
        <w:rPr>
          <w:rFonts w:eastAsia="Arial Unicode MS"/>
          <w:color w:val="000000"/>
          <w:sz w:val="22"/>
          <w:u w:color="000000"/>
          <w:lang w:val="it-IT"/>
        </w:rPr>
        <w:t>L</w:t>
      </w:r>
      <w:r w:rsidR="00D7518C" w:rsidRPr="008A7B02">
        <w:rPr>
          <w:rFonts w:eastAsia="Arial Unicode MS"/>
          <w:color w:val="000000"/>
          <w:sz w:val="22"/>
          <w:u w:color="000000"/>
          <w:lang w:val="it-IT"/>
        </w:rPr>
        <w:t>a</w:t>
      </w:r>
      <w:r w:rsidR="006B19FE" w:rsidRPr="008A7B02">
        <w:rPr>
          <w:rFonts w:eastAsia="Arial Unicode MS"/>
          <w:color w:val="000000"/>
          <w:sz w:val="22"/>
          <w:u w:color="000000"/>
          <w:lang w:val="it-IT"/>
        </w:rPr>
        <w:t xml:space="preserve"> fornitura</w:t>
      </w:r>
      <w:r w:rsidR="00D7518C" w:rsidRPr="008A7B02">
        <w:rPr>
          <w:rFonts w:eastAsia="Arial Unicode MS"/>
          <w:color w:val="000000"/>
          <w:sz w:val="22"/>
          <w:u w:color="000000"/>
          <w:lang w:val="it-IT"/>
        </w:rPr>
        <w:t xml:space="preserve"> dei </w:t>
      </w:r>
      <w:r w:rsidR="006B19FE" w:rsidRPr="008A7B02">
        <w:rPr>
          <w:rFonts w:eastAsia="Arial Unicode MS"/>
          <w:color w:val="000000"/>
          <w:sz w:val="22"/>
          <w:u w:color="000000"/>
          <w:lang w:val="it-IT"/>
        </w:rPr>
        <w:t>materiali dev</w:t>
      </w:r>
      <w:r w:rsidR="00D7518C" w:rsidRPr="008A7B02">
        <w:rPr>
          <w:rFonts w:eastAsia="Arial Unicode MS"/>
          <w:color w:val="000000"/>
          <w:sz w:val="22"/>
          <w:u w:color="000000"/>
          <w:lang w:val="it-IT"/>
        </w:rPr>
        <w:t>e</w:t>
      </w:r>
      <w:r w:rsidR="006B19FE" w:rsidRPr="008A7B02">
        <w:rPr>
          <w:rFonts w:eastAsia="Arial Unicode MS"/>
          <w:color w:val="000000"/>
          <w:sz w:val="22"/>
          <w:u w:color="000000"/>
          <w:lang w:val="it-IT"/>
        </w:rPr>
        <w:t xml:space="preserve"> essere fatturat</w:t>
      </w:r>
      <w:r w:rsidR="00D7518C" w:rsidRPr="008A7B02">
        <w:rPr>
          <w:rFonts w:eastAsia="Arial Unicode MS"/>
          <w:color w:val="000000"/>
          <w:sz w:val="22"/>
          <w:u w:color="000000"/>
          <w:lang w:val="it-IT"/>
        </w:rPr>
        <w:t>a</w:t>
      </w:r>
      <w:r w:rsidR="006B19FE" w:rsidRPr="008A7B02">
        <w:rPr>
          <w:rFonts w:eastAsia="Arial Unicode MS"/>
          <w:color w:val="000000"/>
          <w:sz w:val="22"/>
          <w:u w:color="000000"/>
          <w:lang w:val="it-IT"/>
        </w:rPr>
        <w:t xml:space="preserve"> in un’unica soluzione.</w:t>
      </w:r>
      <w:r w:rsidR="00176C5E" w:rsidRPr="00E83243">
        <w:rPr>
          <w:rFonts w:eastAsia="Arial Unicode MS"/>
          <w:color w:val="000000"/>
          <w:sz w:val="22"/>
          <w:u w:color="000000"/>
          <w:lang w:val="it-IT"/>
        </w:rPr>
        <w:t xml:space="preserve"> </w:t>
      </w:r>
      <w:r w:rsidR="003642CF" w:rsidRPr="00B6289B">
        <w:rPr>
          <w:sz w:val="22"/>
          <w:szCs w:val="22"/>
          <w:lang w:val="it-IT"/>
        </w:rPr>
        <w:t>In conformità a quanto previsto dall’art. 25 del D.L. 24 aprile 2014, n. 66, convertito in legge, con modificazioni, dall’art. 1 della Legge 23 giugno 2014, n. 89</w:t>
      </w:r>
      <w:r w:rsidR="003642CF">
        <w:rPr>
          <w:rFonts w:eastAsia="Arial Unicode MS"/>
          <w:color w:val="000000"/>
          <w:sz w:val="22"/>
          <w:szCs w:val="22"/>
          <w:u w:color="000000"/>
          <w:lang w:val="it-IT"/>
        </w:rPr>
        <w:t>, i</w:t>
      </w:r>
      <w:r w:rsidR="00176C5E" w:rsidRPr="00E83243">
        <w:rPr>
          <w:rFonts w:eastAsia="Arial Unicode MS"/>
          <w:color w:val="000000"/>
          <w:sz w:val="22"/>
          <w:szCs w:val="22"/>
          <w:u w:color="000000"/>
          <w:lang w:val="it-IT"/>
        </w:rPr>
        <w:t>n ciascuna fattura dovranno essere espressamente indicati</w:t>
      </w:r>
      <w:r w:rsidR="00F25F42">
        <w:rPr>
          <w:rFonts w:eastAsia="Arial Unicode MS"/>
          <w:color w:val="000000"/>
          <w:sz w:val="22"/>
          <w:szCs w:val="22"/>
          <w:u w:color="000000"/>
          <w:lang w:val="it-IT"/>
        </w:rPr>
        <w:t xml:space="preserve"> anche</w:t>
      </w:r>
      <w:r w:rsidR="00176C5E" w:rsidRPr="00E83243">
        <w:rPr>
          <w:rFonts w:eastAsia="Arial Unicode MS"/>
          <w:color w:val="000000"/>
          <w:sz w:val="22"/>
          <w:szCs w:val="22"/>
          <w:u w:color="000000"/>
          <w:lang w:val="it-IT"/>
        </w:rPr>
        <w:t xml:space="preserve"> il CIG (</w:t>
      </w:r>
      <w:r w:rsidR="00176C5E" w:rsidRPr="00E83243">
        <w:rPr>
          <w:rFonts w:eastAsia="Arial Unicode MS"/>
          <w:i/>
          <w:color w:val="000000"/>
          <w:sz w:val="22"/>
          <w:szCs w:val="22"/>
          <w:u w:color="000000"/>
          <w:lang w:val="it-IT"/>
        </w:rPr>
        <w:t>Codice Identificativo Gara</w:t>
      </w:r>
      <w:r w:rsidR="00176C5E" w:rsidRPr="00E83243">
        <w:rPr>
          <w:rFonts w:eastAsia="Arial Unicode MS"/>
          <w:color w:val="000000"/>
          <w:sz w:val="22"/>
          <w:szCs w:val="22"/>
          <w:u w:color="000000"/>
          <w:lang w:val="it-IT"/>
        </w:rPr>
        <w:t>) ed il CUP (</w:t>
      </w:r>
      <w:r w:rsidR="00176C5E" w:rsidRPr="00E83243">
        <w:rPr>
          <w:rFonts w:eastAsia="Arial Unicode MS"/>
          <w:i/>
          <w:color w:val="000000"/>
          <w:sz w:val="22"/>
          <w:szCs w:val="22"/>
          <w:u w:color="000000"/>
          <w:lang w:val="it-IT"/>
        </w:rPr>
        <w:t>Codice Unico di Progetto</w:t>
      </w:r>
      <w:r w:rsidR="00176C5E" w:rsidRPr="00FE66A6">
        <w:rPr>
          <w:rFonts w:eastAsia="Arial Unicode MS"/>
          <w:color w:val="000000"/>
          <w:sz w:val="22"/>
          <w:szCs w:val="22"/>
          <w:u w:color="000000"/>
          <w:lang w:val="it-IT"/>
        </w:rPr>
        <w:t>).</w:t>
      </w:r>
    </w:p>
    <w:p w14:paraId="2B01A3C8" w14:textId="1D5D4B1C" w:rsidR="00236E89" w:rsidRDefault="00CF28E7" w:rsidP="00226152">
      <w:pPr>
        <w:numPr>
          <w:ilvl w:val="0"/>
          <w:numId w:val="9"/>
        </w:numPr>
        <w:spacing w:after="240" w:line="360" w:lineRule="auto"/>
        <w:jc w:val="both"/>
        <w:outlineLvl w:val="0"/>
        <w:rPr>
          <w:rFonts w:eastAsia="Arial Unicode MS"/>
          <w:color w:val="000000"/>
          <w:sz w:val="22"/>
          <w:u w:color="000000"/>
          <w:lang w:val="it-IT"/>
        </w:rPr>
      </w:pPr>
      <w:r>
        <w:rPr>
          <w:rFonts w:eastAsia="Arial Unicode MS"/>
          <w:b/>
          <w:smallCaps/>
          <w:color w:val="000000"/>
          <w:sz w:val="22"/>
          <w:u w:color="000000"/>
          <w:lang w:val="it-IT"/>
        </w:rPr>
        <w:t>Penali.</w:t>
      </w:r>
      <w:r w:rsidR="006B19FE" w:rsidRPr="006B19FE">
        <w:rPr>
          <w:rFonts w:eastAsia="Arial Unicode MS" w:hAnsi="Arial Unicode MS"/>
          <w:color w:val="000000"/>
          <w:sz w:val="22"/>
          <w:u w:color="000000"/>
          <w:lang w:val="it-IT"/>
        </w:rPr>
        <w:t xml:space="preserve"> </w:t>
      </w:r>
      <w:r w:rsidRPr="007507FB">
        <w:rPr>
          <w:rFonts w:eastAsia="Arial Unicode MS"/>
          <w:color w:val="000000"/>
          <w:sz w:val="22"/>
          <w:u w:color="000000"/>
          <w:lang w:val="it-IT"/>
        </w:rPr>
        <w:t>P</w:t>
      </w:r>
      <w:r w:rsidR="006B19FE" w:rsidRPr="007507FB">
        <w:rPr>
          <w:rFonts w:eastAsia="Arial Unicode MS"/>
          <w:color w:val="000000"/>
          <w:sz w:val="22"/>
          <w:u w:color="000000"/>
          <w:lang w:val="it-IT"/>
        </w:rPr>
        <w:t>er le penali eventualmente dovute</w:t>
      </w:r>
      <w:r w:rsidR="0091427C" w:rsidRPr="007507FB">
        <w:rPr>
          <w:rFonts w:eastAsia="Arial Unicode MS"/>
          <w:color w:val="000000"/>
          <w:sz w:val="22"/>
          <w:u w:color="000000"/>
          <w:lang w:val="it-IT"/>
        </w:rPr>
        <w:t>, il fornitore detrae gli importi dalla fattura emessa, fornendo una dettagliata descrizione nella fattura medesima delle voci di debito e di credito. Non è consentita l’applicazione di penali attraverso l’emissione di documenti contabili separati (es.: attraverso emissioni di nota di credito o di debito).</w:t>
      </w:r>
    </w:p>
    <w:p w14:paraId="78F502C0" w14:textId="280E4721" w:rsidR="000B4128" w:rsidRPr="007D62EC" w:rsidRDefault="000B4128" w:rsidP="00226152">
      <w:pPr>
        <w:numPr>
          <w:ilvl w:val="0"/>
          <w:numId w:val="9"/>
        </w:numPr>
        <w:spacing w:after="240" w:line="360" w:lineRule="auto"/>
        <w:jc w:val="both"/>
        <w:outlineLvl w:val="0"/>
        <w:rPr>
          <w:rFonts w:eastAsia="Arial Unicode MS"/>
          <w:b/>
          <w:smallCaps/>
          <w:color w:val="000000"/>
          <w:sz w:val="22"/>
          <w:szCs w:val="22"/>
          <w:u w:color="000000"/>
          <w:lang w:val="it-IT"/>
        </w:rPr>
      </w:pPr>
      <w:r w:rsidRPr="000B4128">
        <w:rPr>
          <w:rFonts w:eastAsia="Arial Unicode MS"/>
          <w:b/>
          <w:smallCaps/>
          <w:color w:val="000000"/>
          <w:sz w:val="22"/>
          <w:u w:color="000000"/>
          <w:lang w:val="it-IT"/>
        </w:rPr>
        <w:t>Attributi</w:t>
      </w:r>
      <w:r w:rsidRPr="007D62EC">
        <w:rPr>
          <w:rFonts w:eastAsia="Arial Unicode MS"/>
          <w:b/>
          <w:smallCaps/>
          <w:color w:val="000000"/>
          <w:sz w:val="22"/>
          <w:szCs w:val="22"/>
          <w:u w:color="000000"/>
          <w:lang w:val="it-IT"/>
        </w:rPr>
        <w:t xml:space="preserve"> Comuni. </w:t>
      </w:r>
      <w:r w:rsidRPr="007D62EC">
        <w:rPr>
          <w:rFonts w:eastAsia="Arial Unicode MS"/>
          <w:color w:val="000000"/>
          <w:sz w:val="22"/>
          <w:szCs w:val="22"/>
          <w:u w:color="000000"/>
          <w:lang w:val="it-IT"/>
        </w:rPr>
        <w:t xml:space="preserve">La sottostante tabella è da intendersi sostitutiva, con riferimento ai prodotti indicati nella rubrica del presente </w:t>
      </w:r>
      <w:r w:rsidR="00041696">
        <w:rPr>
          <w:rFonts w:eastAsia="Arial Unicode MS"/>
          <w:color w:val="000000"/>
          <w:sz w:val="22"/>
          <w:szCs w:val="22"/>
          <w:u w:color="000000"/>
          <w:lang w:val="it-IT"/>
        </w:rPr>
        <w:t>C</w:t>
      </w:r>
      <w:r w:rsidRPr="00FC4DF4">
        <w:rPr>
          <w:rFonts w:eastAsia="Arial Unicode MS"/>
          <w:color w:val="000000"/>
          <w:sz w:val="22"/>
          <w:szCs w:val="22"/>
          <w:u w:color="000000"/>
          <w:lang w:val="it-IT"/>
        </w:rPr>
        <w:t>apitolato</w:t>
      </w:r>
      <w:r w:rsidR="00FC4DF4">
        <w:rPr>
          <w:rFonts w:eastAsia="Arial Unicode MS"/>
          <w:color w:val="000000"/>
          <w:sz w:val="22"/>
          <w:szCs w:val="22"/>
          <w:u w:color="000000"/>
          <w:lang w:val="it-IT"/>
        </w:rPr>
        <w:t xml:space="preserve"> </w:t>
      </w:r>
      <w:r w:rsidR="00041696">
        <w:rPr>
          <w:rFonts w:eastAsia="Arial Unicode MS"/>
          <w:color w:val="000000"/>
          <w:sz w:val="22"/>
          <w:szCs w:val="22"/>
          <w:u w:color="000000"/>
          <w:lang w:val="it-IT"/>
        </w:rPr>
        <w:t>S</w:t>
      </w:r>
      <w:r w:rsidR="00FC4DF4">
        <w:rPr>
          <w:rFonts w:eastAsia="Arial Unicode MS"/>
          <w:color w:val="000000"/>
          <w:sz w:val="22"/>
          <w:szCs w:val="22"/>
          <w:u w:color="000000"/>
          <w:lang w:val="it-IT"/>
        </w:rPr>
        <w:t>peciale</w:t>
      </w:r>
      <w:r w:rsidR="00041696">
        <w:rPr>
          <w:rFonts w:eastAsia="Arial Unicode MS"/>
          <w:color w:val="000000"/>
          <w:sz w:val="22"/>
          <w:szCs w:val="22"/>
          <w:u w:color="000000"/>
          <w:lang w:val="it-IT"/>
        </w:rPr>
        <w:t xml:space="preserve"> POI</w:t>
      </w:r>
      <w:r w:rsidRPr="007D62EC">
        <w:rPr>
          <w:rFonts w:eastAsia="Arial Unicode MS"/>
          <w:color w:val="000000"/>
          <w:sz w:val="22"/>
          <w:szCs w:val="22"/>
          <w:u w:color="000000"/>
          <w:lang w:val="it-IT"/>
        </w:rPr>
        <w:t>, della tabella relativa agli attributi comuni riportata nel Capitolato Standard</w:t>
      </w:r>
      <w:r w:rsidR="0089034B">
        <w:rPr>
          <w:rFonts w:eastAsia="Arial Unicode MS"/>
          <w:color w:val="000000"/>
          <w:sz w:val="22"/>
          <w:szCs w:val="22"/>
          <w:u w:color="000000"/>
          <w:lang w:val="it-IT"/>
        </w:rPr>
        <w:t xml:space="preserve"> MePA</w:t>
      </w:r>
      <w:r w:rsidRPr="007D62EC">
        <w:rPr>
          <w:rFonts w:eastAsia="Arial Unicode MS"/>
          <w:color w:val="000000"/>
          <w:sz w:val="22"/>
          <w:szCs w:val="22"/>
          <w:u w:color="000000"/>
          <w:lang w:val="it-IT"/>
        </w:rPr>
        <w:t>.</w:t>
      </w:r>
    </w:p>
    <w:tbl>
      <w:tblPr>
        <w:tblW w:w="475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835"/>
        <w:gridCol w:w="1559"/>
        <w:gridCol w:w="4962"/>
      </w:tblGrid>
      <w:tr w:rsidR="00B423DF" w:rsidRPr="004F083A" w14:paraId="11E774ED" w14:textId="77777777" w:rsidTr="00B423DF">
        <w:trPr>
          <w:cantSplit/>
          <w:trHeight w:val="567"/>
        </w:trPr>
        <w:tc>
          <w:tcPr>
            <w:tcW w:w="1515" w:type="pct"/>
            <w:shd w:val="pct12" w:color="auto" w:fill="FFFFFF" w:themeFill="background1"/>
            <w:vAlign w:val="center"/>
          </w:tcPr>
          <w:p w14:paraId="688C2A99" w14:textId="77777777" w:rsidR="003C466B" w:rsidRPr="004F083A" w:rsidRDefault="003C466B" w:rsidP="003C466B">
            <w:pPr>
              <w:jc w:val="center"/>
              <w:rPr>
                <w:rFonts w:eastAsia="Calibri"/>
                <w:b/>
                <w:sz w:val="22"/>
                <w:szCs w:val="22"/>
                <w:lang w:val="it-IT"/>
              </w:rPr>
            </w:pPr>
            <w:r w:rsidRPr="004F083A">
              <w:rPr>
                <w:rFonts w:eastAsia="Calibri"/>
                <w:b/>
                <w:sz w:val="22"/>
                <w:szCs w:val="22"/>
                <w:lang w:val="it-IT"/>
              </w:rPr>
              <w:t>Nome campo</w:t>
            </w:r>
          </w:p>
        </w:tc>
        <w:tc>
          <w:tcPr>
            <w:tcW w:w="833" w:type="pct"/>
            <w:shd w:val="pct12" w:color="auto" w:fill="FFFFFF" w:themeFill="background1"/>
            <w:vAlign w:val="center"/>
          </w:tcPr>
          <w:p w14:paraId="644B0C32" w14:textId="77777777" w:rsidR="003C466B" w:rsidRPr="004F083A" w:rsidRDefault="003C466B" w:rsidP="003C466B">
            <w:pPr>
              <w:jc w:val="center"/>
              <w:rPr>
                <w:rFonts w:eastAsia="Calibri"/>
                <w:b/>
                <w:sz w:val="22"/>
                <w:szCs w:val="22"/>
                <w:lang w:val="it-IT"/>
              </w:rPr>
            </w:pPr>
            <w:r w:rsidRPr="004F083A">
              <w:rPr>
                <w:rFonts w:eastAsia="Calibri"/>
                <w:b/>
                <w:sz w:val="22"/>
                <w:szCs w:val="22"/>
                <w:lang w:val="it-IT"/>
              </w:rPr>
              <w:t>Obbligatorio</w:t>
            </w:r>
          </w:p>
        </w:tc>
        <w:tc>
          <w:tcPr>
            <w:tcW w:w="2652" w:type="pct"/>
            <w:shd w:val="pct12" w:color="auto" w:fill="FFFFFF" w:themeFill="background1"/>
            <w:vAlign w:val="center"/>
          </w:tcPr>
          <w:p w14:paraId="2E1FB820" w14:textId="77777777" w:rsidR="003C466B" w:rsidRPr="004F083A" w:rsidRDefault="003C466B" w:rsidP="003C466B">
            <w:pPr>
              <w:jc w:val="center"/>
              <w:rPr>
                <w:rFonts w:eastAsia="Calibri"/>
                <w:b/>
                <w:sz w:val="22"/>
                <w:szCs w:val="22"/>
                <w:lang w:val="it-IT"/>
              </w:rPr>
            </w:pPr>
            <w:r w:rsidRPr="004F083A">
              <w:rPr>
                <w:rFonts w:eastAsia="Calibri"/>
                <w:b/>
                <w:sz w:val="22"/>
                <w:szCs w:val="22"/>
                <w:lang w:val="it-IT"/>
              </w:rPr>
              <w:t>Descrizione</w:t>
            </w:r>
          </w:p>
        </w:tc>
      </w:tr>
      <w:tr w:rsidR="00B423DF" w:rsidRPr="00586CB6" w14:paraId="008F95A9" w14:textId="77777777" w:rsidTr="00B423DF">
        <w:trPr>
          <w:cantSplit/>
          <w:trHeight w:val="454"/>
        </w:trPr>
        <w:tc>
          <w:tcPr>
            <w:tcW w:w="1515" w:type="pct"/>
            <w:vAlign w:val="center"/>
          </w:tcPr>
          <w:p w14:paraId="777D5EA4" w14:textId="77777777" w:rsidR="003C466B" w:rsidRPr="004F083A" w:rsidRDefault="003C466B" w:rsidP="003C466B">
            <w:pPr>
              <w:jc w:val="center"/>
              <w:rPr>
                <w:bCs/>
                <w:sz w:val="22"/>
                <w:szCs w:val="22"/>
              </w:rPr>
            </w:pPr>
            <w:r w:rsidRPr="004F083A">
              <w:rPr>
                <w:bCs/>
                <w:sz w:val="22"/>
                <w:szCs w:val="22"/>
              </w:rPr>
              <w:t>Marca</w:t>
            </w:r>
          </w:p>
        </w:tc>
        <w:tc>
          <w:tcPr>
            <w:tcW w:w="833" w:type="pct"/>
            <w:vAlign w:val="center"/>
          </w:tcPr>
          <w:p w14:paraId="1FA4C2C6" w14:textId="77777777" w:rsidR="003C466B" w:rsidRPr="004F083A" w:rsidRDefault="003C466B" w:rsidP="003C466B">
            <w:pPr>
              <w:jc w:val="center"/>
              <w:rPr>
                <w:sz w:val="22"/>
                <w:szCs w:val="22"/>
              </w:rPr>
            </w:pPr>
            <w:r w:rsidRPr="004F083A">
              <w:rPr>
                <w:sz w:val="22"/>
                <w:szCs w:val="22"/>
              </w:rPr>
              <w:t>Si</w:t>
            </w:r>
          </w:p>
        </w:tc>
        <w:tc>
          <w:tcPr>
            <w:tcW w:w="2652" w:type="pct"/>
            <w:vAlign w:val="center"/>
          </w:tcPr>
          <w:p w14:paraId="0ED0EFE3" w14:textId="77777777" w:rsidR="003C466B" w:rsidRPr="004F083A" w:rsidRDefault="003C466B" w:rsidP="00B423DF">
            <w:pPr>
              <w:jc w:val="both"/>
              <w:rPr>
                <w:sz w:val="22"/>
                <w:szCs w:val="22"/>
                <w:lang w:val="it-IT"/>
              </w:rPr>
            </w:pPr>
            <w:r w:rsidRPr="004F083A">
              <w:rPr>
                <w:sz w:val="22"/>
                <w:szCs w:val="22"/>
                <w:lang w:val="it-IT"/>
              </w:rPr>
              <w:t>Nome dell’azienda produttrice del bene.</w:t>
            </w:r>
          </w:p>
        </w:tc>
      </w:tr>
      <w:tr w:rsidR="00B423DF" w:rsidRPr="00586CB6" w14:paraId="7A9D3E67" w14:textId="77777777" w:rsidTr="00B423DF">
        <w:trPr>
          <w:cantSplit/>
          <w:trHeight w:val="454"/>
        </w:trPr>
        <w:tc>
          <w:tcPr>
            <w:tcW w:w="1515" w:type="pct"/>
            <w:vAlign w:val="center"/>
          </w:tcPr>
          <w:p w14:paraId="1F6D1EBB" w14:textId="77777777" w:rsidR="003C466B" w:rsidRPr="004F083A" w:rsidRDefault="003C466B" w:rsidP="003C466B">
            <w:pPr>
              <w:jc w:val="center"/>
              <w:rPr>
                <w:bCs/>
                <w:sz w:val="22"/>
                <w:szCs w:val="22"/>
              </w:rPr>
            </w:pPr>
            <w:r w:rsidRPr="004F083A">
              <w:rPr>
                <w:rFonts w:eastAsia="Batang"/>
                <w:bCs/>
                <w:sz w:val="22"/>
                <w:szCs w:val="22"/>
              </w:rPr>
              <w:t>Descrizione</w:t>
            </w:r>
          </w:p>
        </w:tc>
        <w:tc>
          <w:tcPr>
            <w:tcW w:w="833" w:type="pct"/>
            <w:vAlign w:val="center"/>
          </w:tcPr>
          <w:p w14:paraId="3840B777" w14:textId="77777777" w:rsidR="003C466B" w:rsidRPr="004F083A" w:rsidRDefault="003C466B" w:rsidP="003C466B">
            <w:pPr>
              <w:jc w:val="center"/>
              <w:rPr>
                <w:sz w:val="22"/>
                <w:szCs w:val="22"/>
              </w:rPr>
            </w:pPr>
            <w:r w:rsidRPr="004F083A">
              <w:rPr>
                <w:rFonts w:eastAsia="Batang"/>
                <w:sz w:val="22"/>
                <w:szCs w:val="22"/>
              </w:rPr>
              <w:t>Si</w:t>
            </w:r>
          </w:p>
        </w:tc>
        <w:tc>
          <w:tcPr>
            <w:tcW w:w="2652" w:type="pct"/>
            <w:vAlign w:val="center"/>
          </w:tcPr>
          <w:p w14:paraId="25CB12CE" w14:textId="77777777" w:rsidR="003C466B" w:rsidRPr="004F083A" w:rsidRDefault="003C466B" w:rsidP="00B423DF">
            <w:pPr>
              <w:jc w:val="both"/>
              <w:rPr>
                <w:sz w:val="22"/>
                <w:szCs w:val="22"/>
                <w:lang w:val="it-IT"/>
              </w:rPr>
            </w:pPr>
            <w:r w:rsidRPr="004F083A">
              <w:rPr>
                <w:rFonts w:eastAsia="Batang"/>
                <w:sz w:val="22"/>
                <w:szCs w:val="22"/>
                <w:lang w:val="it-IT"/>
              </w:rPr>
              <w:t>Contiene informazioni aggiuntive su un articolo</w:t>
            </w:r>
          </w:p>
        </w:tc>
      </w:tr>
      <w:tr w:rsidR="00B423DF" w:rsidRPr="00586CB6" w14:paraId="5924AEAA" w14:textId="77777777" w:rsidTr="00B423DF">
        <w:trPr>
          <w:cantSplit/>
        </w:trPr>
        <w:tc>
          <w:tcPr>
            <w:tcW w:w="1515" w:type="pct"/>
            <w:vAlign w:val="center"/>
          </w:tcPr>
          <w:p w14:paraId="7D6FDFE3" w14:textId="77777777" w:rsidR="003C466B" w:rsidRPr="004F083A" w:rsidRDefault="003C466B" w:rsidP="003C466B">
            <w:pPr>
              <w:jc w:val="center"/>
              <w:rPr>
                <w:bCs/>
                <w:sz w:val="22"/>
                <w:szCs w:val="22"/>
              </w:rPr>
            </w:pPr>
            <w:r w:rsidRPr="004F083A">
              <w:rPr>
                <w:bCs/>
                <w:sz w:val="22"/>
                <w:szCs w:val="22"/>
              </w:rPr>
              <w:lastRenderedPageBreak/>
              <w:t>Nome Commerciale</w:t>
            </w:r>
          </w:p>
        </w:tc>
        <w:tc>
          <w:tcPr>
            <w:tcW w:w="833" w:type="pct"/>
            <w:vAlign w:val="center"/>
          </w:tcPr>
          <w:p w14:paraId="47ED0C03" w14:textId="77777777" w:rsidR="003C466B" w:rsidRPr="004F083A" w:rsidRDefault="003C466B" w:rsidP="003C466B">
            <w:pPr>
              <w:jc w:val="center"/>
              <w:rPr>
                <w:sz w:val="22"/>
                <w:szCs w:val="22"/>
              </w:rPr>
            </w:pPr>
            <w:r w:rsidRPr="004F083A">
              <w:rPr>
                <w:sz w:val="22"/>
                <w:szCs w:val="22"/>
              </w:rPr>
              <w:t>Si</w:t>
            </w:r>
          </w:p>
        </w:tc>
        <w:tc>
          <w:tcPr>
            <w:tcW w:w="2652" w:type="pct"/>
            <w:vAlign w:val="center"/>
          </w:tcPr>
          <w:p w14:paraId="6BF2B55D" w14:textId="77777777" w:rsidR="003C466B" w:rsidRPr="004F083A" w:rsidRDefault="003C466B" w:rsidP="00B423DF">
            <w:pPr>
              <w:jc w:val="both"/>
              <w:rPr>
                <w:sz w:val="22"/>
                <w:szCs w:val="22"/>
                <w:lang w:val="it-IT"/>
              </w:rPr>
            </w:pPr>
            <w:r w:rsidRPr="004F083A">
              <w:rPr>
                <w:sz w:val="22"/>
                <w:szCs w:val="22"/>
                <w:lang w:val="it-IT"/>
              </w:rPr>
              <w:t>Il nome o il marchio utilizzato ai fini della messa in commercio del bene e che lo contraddistingue nei confronti del pubblico nell’ambito del territorio nazionale.</w:t>
            </w:r>
          </w:p>
        </w:tc>
      </w:tr>
      <w:tr w:rsidR="00B423DF" w:rsidRPr="004F083A" w14:paraId="332483D0" w14:textId="77777777" w:rsidTr="00B423DF">
        <w:trPr>
          <w:cantSplit/>
        </w:trPr>
        <w:tc>
          <w:tcPr>
            <w:tcW w:w="1515" w:type="pct"/>
            <w:vAlign w:val="center"/>
          </w:tcPr>
          <w:p w14:paraId="6F4D8F97" w14:textId="77777777" w:rsidR="003C466B" w:rsidRPr="004F083A" w:rsidRDefault="003C466B" w:rsidP="003C466B">
            <w:pPr>
              <w:jc w:val="center"/>
              <w:rPr>
                <w:bCs/>
                <w:sz w:val="22"/>
                <w:szCs w:val="22"/>
              </w:rPr>
            </w:pPr>
            <w:r w:rsidRPr="004F083A">
              <w:rPr>
                <w:bCs/>
                <w:sz w:val="22"/>
                <w:szCs w:val="22"/>
              </w:rPr>
              <w:t>Codice Articolo Fornitore</w:t>
            </w:r>
          </w:p>
        </w:tc>
        <w:tc>
          <w:tcPr>
            <w:tcW w:w="833" w:type="pct"/>
            <w:vAlign w:val="center"/>
          </w:tcPr>
          <w:p w14:paraId="0D8A79E9" w14:textId="77777777" w:rsidR="003C466B" w:rsidRPr="004F083A" w:rsidRDefault="003C466B" w:rsidP="003C466B">
            <w:pPr>
              <w:jc w:val="center"/>
              <w:rPr>
                <w:sz w:val="22"/>
                <w:szCs w:val="22"/>
              </w:rPr>
            </w:pPr>
            <w:r w:rsidRPr="004F083A">
              <w:rPr>
                <w:sz w:val="22"/>
                <w:szCs w:val="22"/>
              </w:rPr>
              <w:t>Si</w:t>
            </w:r>
          </w:p>
        </w:tc>
        <w:tc>
          <w:tcPr>
            <w:tcW w:w="2652" w:type="pct"/>
            <w:vAlign w:val="center"/>
          </w:tcPr>
          <w:p w14:paraId="1473A242" w14:textId="77777777" w:rsidR="003C466B" w:rsidRPr="004F083A" w:rsidRDefault="003C466B" w:rsidP="00B423DF">
            <w:pPr>
              <w:jc w:val="both"/>
              <w:rPr>
                <w:sz w:val="22"/>
                <w:szCs w:val="22"/>
              </w:rPr>
            </w:pPr>
            <w:r w:rsidRPr="004F083A">
              <w:rPr>
                <w:sz w:val="22"/>
                <w:szCs w:val="22"/>
                <w:lang w:val="it-IT"/>
              </w:rPr>
              <w:t xml:space="preserve">Indica il codice alfa-numerico che, per il Fornitore, individua il bene. </w:t>
            </w:r>
            <w:r w:rsidRPr="004F083A">
              <w:rPr>
                <w:sz w:val="22"/>
                <w:szCs w:val="22"/>
              </w:rPr>
              <w:t>Rappresenta l’effettivo codice articolo fornitore.</w:t>
            </w:r>
          </w:p>
        </w:tc>
      </w:tr>
      <w:tr w:rsidR="00B423DF" w:rsidRPr="00586CB6" w14:paraId="2B28B7CE" w14:textId="77777777" w:rsidTr="00B423DF">
        <w:trPr>
          <w:cantSplit/>
          <w:trHeight w:val="401"/>
        </w:trPr>
        <w:tc>
          <w:tcPr>
            <w:tcW w:w="1515" w:type="pct"/>
            <w:vAlign w:val="center"/>
          </w:tcPr>
          <w:p w14:paraId="1AE18121" w14:textId="33E53E36" w:rsidR="003C466B" w:rsidRPr="004F083A" w:rsidRDefault="003C466B" w:rsidP="00900C0B">
            <w:pPr>
              <w:jc w:val="center"/>
              <w:rPr>
                <w:bCs/>
                <w:sz w:val="22"/>
                <w:szCs w:val="22"/>
              </w:rPr>
            </w:pPr>
            <w:r w:rsidRPr="004F083A">
              <w:rPr>
                <w:bCs/>
                <w:sz w:val="22"/>
                <w:szCs w:val="22"/>
              </w:rPr>
              <w:t>Prezzo</w:t>
            </w:r>
          </w:p>
        </w:tc>
        <w:tc>
          <w:tcPr>
            <w:tcW w:w="833" w:type="pct"/>
            <w:vAlign w:val="center"/>
          </w:tcPr>
          <w:p w14:paraId="58239C2A" w14:textId="77777777" w:rsidR="003C466B" w:rsidRPr="004F083A" w:rsidRDefault="003C466B" w:rsidP="003C466B">
            <w:pPr>
              <w:jc w:val="center"/>
              <w:rPr>
                <w:sz w:val="22"/>
                <w:szCs w:val="22"/>
              </w:rPr>
            </w:pPr>
            <w:r w:rsidRPr="004F083A">
              <w:rPr>
                <w:sz w:val="22"/>
                <w:szCs w:val="22"/>
              </w:rPr>
              <w:t>Si</w:t>
            </w:r>
          </w:p>
        </w:tc>
        <w:tc>
          <w:tcPr>
            <w:tcW w:w="2652" w:type="pct"/>
            <w:vAlign w:val="center"/>
          </w:tcPr>
          <w:p w14:paraId="692AD48B" w14:textId="77777777" w:rsidR="003C466B" w:rsidRPr="004F083A" w:rsidRDefault="003C466B" w:rsidP="00B423DF">
            <w:pPr>
              <w:jc w:val="both"/>
              <w:rPr>
                <w:sz w:val="22"/>
                <w:szCs w:val="22"/>
                <w:lang w:val="it-IT"/>
              </w:rPr>
            </w:pPr>
            <w:r w:rsidRPr="004F083A">
              <w:rPr>
                <w:sz w:val="22"/>
                <w:szCs w:val="22"/>
                <w:lang w:val="it-IT"/>
              </w:rPr>
              <w:t>Prezzo totale dell’offerta (a corpo)</w:t>
            </w:r>
          </w:p>
        </w:tc>
      </w:tr>
      <w:tr w:rsidR="00B423DF" w:rsidRPr="00586CB6" w14:paraId="25EBEAEC" w14:textId="77777777" w:rsidTr="00B423DF">
        <w:trPr>
          <w:cantSplit/>
          <w:trHeight w:val="487"/>
        </w:trPr>
        <w:tc>
          <w:tcPr>
            <w:tcW w:w="1515" w:type="pct"/>
            <w:vAlign w:val="center"/>
          </w:tcPr>
          <w:p w14:paraId="54203579" w14:textId="77777777" w:rsidR="003C466B" w:rsidRPr="004F083A" w:rsidRDefault="003C466B" w:rsidP="003C466B">
            <w:pPr>
              <w:jc w:val="center"/>
              <w:rPr>
                <w:bCs/>
                <w:sz w:val="22"/>
                <w:szCs w:val="22"/>
              </w:rPr>
            </w:pPr>
            <w:r w:rsidRPr="004F083A">
              <w:rPr>
                <w:bCs/>
                <w:sz w:val="22"/>
                <w:szCs w:val="22"/>
              </w:rPr>
              <w:t>Numero corpi a LED</w:t>
            </w:r>
          </w:p>
        </w:tc>
        <w:tc>
          <w:tcPr>
            <w:tcW w:w="833" w:type="pct"/>
            <w:vAlign w:val="center"/>
          </w:tcPr>
          <w:p w14:paraId="72B0426A" w14:textId="77777777" w:rsidR="003C466B" w:rsidRPr="004F083A" w:rsidRDefault="003C466B" w:rsidP="003C466B">
            <w:pPr>
              <w:jc w:val="center"/>
              <w:rPr>
                <w:sz w:val="22"/>
                <w:szCs w:val="22"/>
              </w:rPr>
            </w:pPr>
            <w:r w:rsidRPr="004F083A">
              <w:rPr>
                <w:sz w:val="22"/>
                <w:szCs w:val="22"/>
              </w:rPr>
              <w:t>Si</w:t>
            </w:r>
          </w:p>
        </w:tc>
        <w:tc>
          <w:tcPr>
            <w:tcW w:w="2652" w:type="pct"/>
            <w:vAlign w:val="center"/>
          </w:tcPr>
          <w:p w14:paraId="6EF0C614" w14:textId="77777777" w:rsidR="003C466B" w:rsidRPr="004F083A" w:rsidRDefault="003C466B" w:rsidP="00B423DF">
            <w:pPr>
              <w:jc w:val="both"/>
              <w:rPr>
                <w:sz w:val="22"/>
                <w:szCs w:val="22"/>
                <w:lang w:val="it-IT"/>
              </w:rPr>
            </w:pPr>
            <w:r w:rsidRPr="004F083A">
              <w:rPr>
                <w:sz w:val="22"/>
                <w:szCs w:val="22"/>
                <w:lang w:val="it-IT"/>
              </w:rPr>
              <w:t>Quantitativo minimo di apparecchi per l’illuminazione.</w:t>
            </w:r>
          </w:p>
        </w:tc>
      </w:tr>
      <w:tr w:rsidR="00B423DF" w:rsidRPr="00586CB6" w14:paraId="4F6C2B53" w14:textId="77777777" w:rsidTr="00E04CAA">
        <w:trPr>
          <w:cantSplit/>
          <w:trHeight w:val="603"/>
        </w:trPr>
        <w:tc>
          <w:tcPr>
            <w:tcW w:w="1515" w:type="pct"/>
            <w:vAlign w:val="center"/>
          </w:tcPr>
          <w:p w14:paraId="66A02ABC" w14:textId="77777777" w:rsidR="003C466B" w:rsidRPr="004F083A" w:rsidRDefault="003C466B" w:rsidP="003C466B">
            <w:pPr>
              <w:autoSpaceDE w:val="0"/>
              <w:autoSpaceDN w:val="0"/>
              <w:adjustRightInd w:val="0"/>
              <w:jc w:val="center"/>
              <w:rPr>
                <w:sz w:val="22"/>
                <w:szCs w:val="22"/>
                <w:lang w:val="it-IT"/>
              </w:rPr>
            </w:pPr>
            <w:r w:rsidRPr="004F083A">
              <w:rPr>
                <w:sz w:val="22"/>
                <w:szCs w:val="22"/>
                <w:lang w:val="it-IT"/>
              </w:rPr>
              <w:t>Tempo di Consegna (giorni solari)</w:t>
            </w:r>
          </w:p>
        </w:tc>
        <w:tc>
          <w:tcPr>
            <w:tcW w:w="833" w:type="pct"/>
            <w:vAlign w:val="center"/>
          </w:tcPr>
          <w:p w14:paraId="299467AF" w14:textId="77777777" w:rsidR="003C466B" w:rsidRPr="004F083A" w:rsidRDefault="003C466B" w:rsidP="003C466B">
            <w:pPr>
              <w:jc w:val="center"/>
              <w:rPr>
                <w:sz w:val="22"/>
                <w:szCs w:val="22"/>
                <w:lang w:val="it-IT"/>
              </w:rPr>
            </w:pPr>
            <w:r w:rsidRPr="004F083A">
              <w:rPr>
                <w:sz w:val="22"/>
                <w:szCs w:val="22"/>
                <w:lang w:val="it-IT"/>
              </w:rPr>
              <w:t>Si</w:t>
            </w:r>
          </w:p>
        </w:tc>
        <w:tc>
          <w:tcPr>
            <w:tcW w:w="2652" w:type="pct"/>
            <w:vAlign w:val="center"/>
          </w:tcPr>
          <w:p w14:paraId="3D5A61F1" w14:textId="77777777" w:rsidR="003C466B" w:rsidRPr="004F083A" w:rsidRDefault="003C466B" w:rsidP="00B423DF">
            <w:pPr>
              <w:jc w:val="both"/>
              <w:rPr>
                <w:sz w:val="22"/>
                <w:szCs w:val="22"/>
                <w:lang w:val="it-IT"/>
              </w:rPr>
            </w:pPr>
            <w:r w:rsidRPr="004F083A">
              <w:rPr>
                <w:sz w:val="22"/>
                <w:szCs w:val="22"/>
                <w:lang w:val="it-IT"/>
              </w:rPr>
              <w:t>Tempo massimo (espresso in giorni solari) di consegna della fornitura  (max 60 giorni solari).</w:t>
            </w:r>
          </w:p>
        </w:tc>
      </w:tr>
      <w:tr w:rsidR="00B423DF" w:rsidRPr="00586CB6" w14:paraId="7D3984C3" w14:textId="77777777" w:rsidTr="00B423DF">
        <w:trPr>
          <w:cantSplit/>
          <w:trHeight w:val="616"/>
        </w:trPr>
        <w:tc>
          <w:tcPr>
            <w:tcW w:w="1515" w:type="pct"/>
            <w:vAlign w:val="center"/>
          </w:tcPr>
          <w:p w14:paraId="03C6E1A7" w14:textId="77777777" w:rsidR="003C466B" w:rsidRPr="004F083A" w:rsidRDefault="003C466B" w:rsidP="003C466B">
            <w:pPr>
              <w:autoSpaceDE w:val="0"/>
              <w:autoSpaceDN w:val="0"/>
              <w:adjustRightInd w:val="0"/>
              <w:jc w:val="center"/>
              <w:rPr>
                <w:sz w:val="22"/>
                <w:szCs w:val="22"/>
                <w:lang w:val="it-IT"/>
              </w:rPr>
            </w:pPr>
            <w:r w:rsidRPr="004F083A">
              <w:rPr>
                <w:sz w:val="22"/>
                <w:szCs w:val="22"/>
                <w:lang w:val="it-IT"/>
              </w:rPr>
              <w:t>Condizioni di pagamento</w:t>
            </w:r>
          </w:p>
        </w:tc>
        <w:tc>
          <w:tcPr>
            <w:tcW w:w="833" w:type="pct"/>
            <w:vAlign w:val="center"/>
          </w:tcPr>
          <w:p w14:paraId="7FCB769E" w14:textId="77777777" w:rsidR="003C466B" w:rsidRPr="004F083A" w:rsidRDefault="003C466B" w:rsidP="003C466B">
            <w:pPr>
              <w:jc w:val="center"/>
              <w:rPr>
                <w:sz w:val="22"/>
                <w:szCs w:val="22"/>
                <w:lang w:val="it-IT"/>
              </w:rPr>
            </w:pPr>
            <w:r w:rsidRPr="004F083A">
              <w:rPr>
                <w:sz w:val="22"/>
                <w:szCs w:val="22"/>
                <w:lang w:val="it-IT"/>
              </w:rPr>
              <w:t>Si</w:t>
            </w:r>
          </w:p>
        </w:tc>
        <w:tc>
          <w:tcPr>
            <w:tcW w:w="2652" w:type="pct"/>
            <w:vAlign w:val="center"/>
          </w:tcPr>
          <w:p w14:paraId="3B927905" w14:textId="77777777" w:rsidR="003C466B" w:rsidRPr="004F083A" w:rsidRDefault="003C466B" w:rsidP="00B423DF">
            <w:pPr>
              <w:jc w:val="both"/>
              <w:rPr>
                <w:sz w:val="22"/>
                <w:szCs w:val="22"/>
                <w:lang w:val="it-IT"/>
              </w:rPr>
            </w:pPr>
            <w:r w:rsidRPr="004F083A">
              <w:rPr>
                <w:sz w:val="22"/>
                <w:szCs w:val="22"/>
                <w:lang w:val="it-IT"/>
              </w:rPr>
              <w:t xml:space="preserve">Descrive le condizioni di pagamento relative all’articolo: 30 </w:t>
            </w:r>
            <w:r w:rsidRPr="004F083A">
              <w:rPr>
                <w:rFonts w:eastAsia="Batang"/>
                <w:sz w:val="22"/>
                <w:szCs w:val="22"/>
                <w:lang w:val="it-IT"/>
              </w:rPr>
              <w:t xml:space="preserve">gg DF (30 giorni data fattura) </w:t>
            </w:r>
            <w:r w:rsidRPr="004F083A">
              <w:rPr>
                <w:sz w:val="22"/>
                <w:szCs w:val="22"/>
                <w:lang w:val="it-IT"/>
              </w:rPr>
              <w:t>.</w:t>
            </w:r>
          </w:p>
        </w:tc>
      </w:tr>
      <w:tr w:rsidR="00B423DF" w:rsidRPr="00586CB6" w14:paraId="02C85127" w14:textId="77777777" w:rsidTr="00B423DF">
        <w:trPr>
          <w:cantSplit/>
        </w:trPr>
        <w:tc>
          <w:tcPr>
            <w:tcW w:w="1515" w:type="pct"/>
            <w:vAlign w:val="center"/>
          </w:tcPr>
          <w:p w14:paraId="22A725C7" w14:textId="77777777" w:rsidR="003C466B" w:rsidRPr="004F083A" w:rsidRDefault="003C466B" w:rsidP="003C466B">
            <w:pPr>
              <w:jc w:val="center"/>
              <w:rPr>
                <w:bCs/>
                <w:sz w:val="22"/>
                <w:szCs w:val="22"/>
              </w:rPr>
            </w:pPr>
            <w:r w:rsidRPr="004F083A">
              <w:rPr>
                <w:bCs/>
                <w:sz w:val="22"/>
                <w:szCs w:val="22"/>
              </w:rPr>
              <w:t>Garanzia</w:t>
            </w:r>
          </w:p>
        </w:tc>
        <w:tc>
          <w:tcPr>
            <w:tcW w:w="833" w:type="pct"/>
            <w:vAlign w:val="center"/>
          </w:tcPr>
          <w:p w14:paraId="0160FD37" w14:textId="77777777" w:rsidR="003C466B" w:rsidRPr="004F083A" w:rsidRDefault="003C466B" w:rsidP="003C466B">
            <w:pPr>
              <w:jc w:val="center"/>
              <w:rPr>
                <w:sz w:val="22"/>
                <w:szCs w:val="22"/>
              </w:rPr>
            </w:pPr>
            <w:r w:rsidRPr="004F083A">
              <w:rPr>
                <w:sz w:val="22"/>
                <w:szCs w:val="22"/>
              </w:rPr>
              <w:t>No</w:t>
            </w:r>
          </w:p>
        </w:tc>
        <w:tc>
          <w:tcPr>
            <w:tcW w:w="2652" w:type="pct"/>
            <w:vAlign w:val="center"/>
          </w:tcPr>
          <w:p w14:paraId="00DEEA1F" w14:textId="28904EF3" w:rsidR="003C466B" w:rsidRPr="004F083A" w:rsidRDefault="004A1B59" w:rsidP="00B423DF">
            <w:pPr>
              <w:jc w:val="both"/>
              <w:rPr>
                <w:sz w:val="22"/>
                <w:szCs w:val="22"/>
                <w:lang w:val="it-IT"/>
              </w:rPr>
            </w:pPr>
            <w:r w:rsidRPr="004F083A">
              <w:rPr>
                <w:sz w:val="22"/>
                <w:szCs w:val="22"/>
                <w:lang w:val="it-IT"/>
              </w:rPr>
              <w:t xml:space="preserve">Contiene la durata complessiva della garanzia </w:t>
            </w:r>
            <w:r w:rsidRPr="004F083A">
              <w:rPr>
                <w:sz w:val="22"/>
                <w:szCs w:val="22"/>
                <w:u w:val="single"/>
                <w:lang w:val="it-IT"/>
              </w:rPr>
              <w:t>eventualmente</w:t>
            </w:r>
            <w:r w:rsidRPr="004F083A">
              <w:rPr>
                <w:sz w:val="22"/>
                <w:szCs w:val="22"/>
                <w:lang w:val="it-IT"/>
              </w:rPr>
              <w:t xml:space="preserve"> prestata dal fornitore e/o produttore.</w:t>
            </w:r>
          </w:p>
        </w:tc>
      </w:tr>
      <w:tr w:rsidR="00B423DF" w:rsidRPr="00586CB6" w14:paraId="29B64AB6" w14:textId="77777777" w:rsidTr="00B423DF">
        <w:trPr>
          <w:cantSplit/>
        </w:trPr>
        <w:tc>
          <w:tcPr>
            <w:tcW w:w="1515" w:type="pct"/>
            <w:vAlign w:val="center"/>
          </w:tcPr>
          <w:p w14:paraId="59DDF262" w14:textId="77777777" w:rsidR="003C466B" w:rsidRPr="004F083A" w:rsidRDefault="003C466B" w:rsidP="003C466B">
            <w:pPr>
              <w:jc w:val="center"/>
              <w:rPr>
                <w:bCs/>
                <w:sz w:val="22"/>
                <w:szCs w:val="22"/>
              </w:rPr>
            </w:pPr>
            <w:r w:rsidRPr="004F083A">
              <w:rPr>
                <w:bCs/>
                <w:sz w:val="22"/>
                <w:szCs w:val="22"/>
              </w:rPr>
              <w:t>Assistenza</w:t>
            </w:r>
          </w:p>
        </w:tc>
        <w:tc>
          <w:tcPr>
            <w:tcW w:w="833" w:type="pct"/>
            <w:vAlign w:val="center"/>
          </w:tcPr>
          <w:p w14:paraId="32A8876B" w14:textId="77777777" w:rsidR="003C466B" w:rsidRPr="004F083A" w:rsidRDefault="003C466B" w:rsidP="003C466B">
            <w:pPr>
              <w:jc w:val="center"/>
              <w:rPr>
                <w:sz w:val="22"/>
                <w:szCs w:val="22"/>
              </w:rPr>
            </w:pPr>
            <w:r w:rsidRPr="004F083A">
              <w:rPr>
                <w:sz w:val="22"/>
                <w:szCs w:val="22"/>
              </w:rPr>
              <w:t>Si</w:t>
            </w:r>
          </w:p>
        </w:tc>
        <w:tc>
          <w:tcPr>
            <w:tcW w:w="2652" w:type="pct"/>
            <w:vAlign w:val="center"/>
          </w:tcPr>
          <w:p w14:paraId="065FF13C" w14:textId="77777777" w:rsidR="003C466B" w:rsidRPr="004F083A" w:rsidRDefault="003C466B" w:rsidP="00B423DF">
            <w:pPr>
              <w:jc w:val="both"/>
              <w:rPr>
                <w:sz w:val="22"/>
                <w:szCs w:val="22"/>
                <w:lang w:val="it-IT"/>
              </w:rPr>
            </w:pPr>
            <w:r w:rsidRPr="004F083A">
              <w:rPr>
                <w:sz w:val="22"/>
                <w:szCs w:val="22"/>
                <w:lang w:val="it-IT"/>
              </w:rPr>
              <w:t>Contiene una sintetica descrizione dell’assistenza prestata dal fornitore e/o dal produttore (ad esempio manutenzione e assistenza preventiva, correttiva, full-</w:t>
            </w:r>
            <w:proofErr w:type="spellStart"/>
            <w:r w:rsidRPr="004F083A">
              <w:rPr>
                <w:sz w:val="22"/>
                <w:szCs w:val="22"/>
                <w:lang w:val="it-IT"/>
              </w:rPr>
              <w:t>risk</w:t>
            </w:r>
            <w:proofErr w:type="spellEnd"/>
            <w:r w:rsidRPr="004F083A">
              <w:rPr>
                <w:sz w:val="22"/>
                <w:szCs w:val="22"/>
                <w:lang w:val="it-IT"/>
              </w:rPr>
              <w:t>, ecc.).</w:t>
            </w:r>
          </w:p>
        </w:tc>
      </w:tr>
      <w:tr w:rsidR="008E364E" w:rsidRPr="00586CB6" w14:paraId="3C2418DD" w14:textId="77777777" w:rsidTr="00B423DF">
        <w:trPr>
          <w:cantSplit/>
        </w:trPr>
        <w:tc>
          <w:tcPr>
            <w:tcW w:w="1515" w:type="pct"/>
            <w:vAlign w:val="center"/>
          </w:tcPr>
          <w:p w14:paraId="4B617116" w14:textId="5ED6303E" w:rsidR="008E364E" w:rsidRPr="004F083A" w:rsidRDefault="008E364E" w:rsidP="003C466B">
            <w:pPr>
              <w:jc w:val="center"/>
              <w:rPr>
                <w:bCs/>
                <w:sz w:val="22"/>
                <w:szCs w:val="22"/>
              </w:rPr>
            </w:pPr>
            <w:r w:rsidRPr="004F083A">
              <w:rPr>
                <w:bCs/>
                <w:sz w:val="22"/>
                <w:szCs w:val="22"/>
              </w:rPr>
              <w:t>Unità di misura</w:t>
            </w:r>
          </w:p>
        </w:tc>
        <w:tc>
          <w:tcPr>
            <w:tcW w:w="833" w:type="pct"/>
            <w:vAlign w:val="center"/>
          </w:tcPr>
          <w:p w14:paraId="743C31A1" w14:textId="5A05A79E" w:rsidR="008E364E" w:rsidRPr="004F083A" w:rsidRDefault="008E364E" w:rsidP="003C466B">
            <w:pPr>
              <w:jc w:val="center"/>
              <w:rPr>
                <w:sz w:val="22"/>
                <w:szCs w:val="22"/>
              </w:rPr>
            </w:pPr>
            <w:r w:rsidRPr="004F083A">
              <w:rPr>
                <w:sz w:val="22"/>
                <w:szCs w:val="22"/>
              </w:rPr>
              <w:t>Si</w:t>
            </w:r>
          </w:p>
        </w:tc>
        <w:tc>
          <w:tcPr>
            <w:tcW w:w="2652" w:type="pct"/>
            <w:vAlign w:val="center"/>
          </w:tcPr>
          <w:p w14:paraId="4448E91F" w14:textId="25FC4439" w:rsidR="008E364E" w:rsidRPr="004F083A" w:rsidRDefault="008E364E" w:rsidP="00B423DF">
            <w:pPr>
              <w:jc w:val="both"/>
              <w:rPr>
                <w:sz w:val="22"/>
                <w:szCs w:val="22"/>
                <w:lang w:val="it-IT"/>
              </w:rPr>
            </w:pPr>
            <w:r w:rsidRPr="004F083A">
              <w:rPr>
                <w:sz w:val="22"/>
                <w:szCs w:val="22"/>
                <w:lang w:val="it-IT"/>
              </w:rPr>
              <w:t>Esprime l’unità di misura utilizzata per la vendita e consegna di un determinato bene; è associata al prezzo</w:t>
            </w:r>
          </w:p>
        </w:tc>
      </w:tr>
      <w:tr w:rsidR="008E364E" w:rsidRPr="00586CB6" w14:paraId="2BDBD713" w14:textId="77777777" w:rsidTr="008E364E">
        <w:trPr>
          <w:cantSplit/>
          <w:trHeight w:val="464"/>
        </w:trPr>
        <w:tc>
          <w:tcPr>
            <w:tcW w:w="1515" w:type="pct"/>
            <w:vAlign w:val="center"/>
          </w:tcPr>
          <w:p w14:paraId="625E0C93" w14:textId="59D200CB" w:rsidR="008E364E" w:rsidRPr="004F083A" w:rsidRDefault="008E364E" w:rsidP="003C466B">
            <w:pPr>
              <w:jc w:val="center"/>
              <w:rPr>
                <w:bCs/>
                <w:sz w:val="22"/>
                <w:szCs w:val="22"/>
              </w:rPr>
            </w:pPr>
            <w:r w:rsidRPr="004F083A">
              <w:rPr>
                <w:bCs/>
                <w:sz w:val="22"/>
                <w:szCs w:val="22"/>
              </w:rPr>
              <w:t>Comune di installazione</w:t>
            </w:r>
          </w:p>
        </w:tc>
        <w:tc>
          <w:tcPr>
            <w:tcW w:w="833" w:type="pct"/>
            <w:vAlign w:val="center"/>
          </w:tcPr>
          <w:p w14:paraId="4D15451C" w14:textId="68754D86" w:rsidR="008E364E" w:rsidRPr="004F083A" w:rsidRDefault="008E364E" w:rsidP="003C466B">
            <w:pPr>
              <w:jc w:val="center"/>
              <w:rPr>
                <w:sz w:val="22"/>
                <w:szCs w:val="22"/>
              </w:rPr>
            </w:pPr>
            <w:r w:rsidRPr="004F083A">
              <w:rPr>
                <w:sz w:val="22"/>
                <w:szCs w:val="22"/>
              </w:rPr>
              <w:t>Si</w:t>
            </w:r>
          </w:p>
        </w:tc>
        <w:tc>
          <w:tcPr>
            <w:tcW w:w="2652" w:type="pct"/>
            <w:vAlign w:val="center"/>
          </w:tcPr>
          <w:p w14:paraId="4409179E" w14:textId="772C0F74" w:rsidR="008E364E" w:rsidRPr="004F083A" w:rsidRDefault="008E364E" w:rsidP="00B423DF">
            <w:pPr>
              <w:jc w:val="both"/>
              <w:rPr>
                <w:sz w:val="22"/>
                <w:szCs w:val="22"/>
                <w:lang w:val="it-IT"/>
              </w:rPr>
            </w:pPr>
            <w:r w:rsidRPr="004F083A">
              <w:rPr>
                <w:sz w:val="22"/>
                <w:szCs w:val="22"/>
                <w:lang w:val="it-IT"/>
              </w:rPr>
              <w:t>Comune dove sarà installato il bene</w:t>
            </w:r>
          </w:p>
        </w:tc>
      </w:tr>
      <w:tr w:rsidR="00B423DF" w:rsidRPr="00586CB6" w14:paraId="4936F719" w14:textId="77777777" w:rsidTr="00B423DF">
        <w:trPr>
          <w:cantSplit/>
        </w:trPr>
        <w:tc>
          <w:tcPr>
            <w:tcW w:w="1515" w:type="pct"/>
            <w:vAlign w:val="center"/>
          </w:tcPr>
          <w:p w14:paraId="515CFFA2" w14:textId="77777777" w:rsidR="003C466B" w:rsidRPr="004F083A" w:rsidRDefault="003C466B" w:rsidP="003C466B">
            <w:pPr>
              <w:jc w:val="center"/>
              <w:rPr>
                <w:bCs/>
                <w:sz w:val="22"/>
                <w:szCs w:val="22"/>
              </w:rPr>
            </w:pPr>
            <w:r w:rsidRPr="004F083A">
              <w:rPr>
                <w:bCs/>
                <w:sz w:val="22"/>
                <w:szCs w:val="22"/>
              </w:rPr>
              <w:t>Note</w:t>
            </w:r>
          </w:p>
        </w:tc>
        <w:tc>
          <w:tcPr>
            <w:tcW w:w="833" w:type="pct"/>
            <w:vAlign w:val="center"/>
          </w:tcPr>
          <w:p w14:paraId="77C7C9AF" w14:textId="77777777" w:rsidR="003C466B" w:rsidRPr="004F083A" w:rsidRDefault="003C466B" w:rsidP="003C466B">
            <w:pPr>
              <w:jc w:val="center"/>
              <w:rPr>
                <w:sz w:val="22"/>
                <w:szCs w:val="22"/>
              </w:rPr>
            </w:pPr>
            <w:r w:rsidRPr="004F083A">
              <w:rPr>
                <w:sz w:val="22"/>
                <w:szCs w:val="22"/>
              </w:rPr>
              <w:t>No</w:t>
            </w:r>
          </w:p>
        </w:tc>
        <w:tc>
          <w:tcPr>
            <w:tcW w:w="2652" w:type="pct"/>
            <w:vAlign w:val="center"/>
          </w:tcPr>
          <w:p w14:paraId="469124A0" w14:textId="77777777" w:rsidR="003C466B" w:rsidRPr="004F083A" w:rsidRDefault="003C466B" w:rsidP="00B423DF">
            <w:pPr>
              <w:jc w:val="both"/>
              <w:rPr>
                <w:sz w:val="22"/>
                <w:szCs w:val="22"/>
                <w:lang w:val="it-IT"/>
              </w:rPr>
            </w:pPr>
            <w:r w:rsidRPr="004F083A">
              <w:rPr>
                <w:sz w:val="22"/>
                <w:szCs w:val="22"/>
                <w:lang w:val="it-IT"/>
              </w:rPr>
              <w:t xml:space="preserve">In questo campo saranno indicate ulteriori ed eventuali informazioni ritenute dal Fornitore utili o qualificanti il Bene, con l’esclusione delle informazioni già presenti negli Attributi Comuni. Si ricorda che il contenuto delle “Note” farà parte integrante della descrizione del Bene contenuta nel catalogo elettronico e dunque sarà giuridicamente vincolante per il Fornitore. Le Note non potranno in nessun modo contenere indicazioni in contrasto o comunque anche soltanto eventualmente difformi rispetto alla descrizione ed alle caratteristiche del Bene, al contenuto del Capitolato Tecnico, alle Condizioni Generali di Contratto e, in generale, ai Documenti del Mercato Elettronico. </w:t>
            </w:r>
          </w:p>
        </w:tc>
      </w:tr>
      <w:tr w:rsidR="00B423DF" w:rsidRPr="00586CB6" w14:paraId="06C70E1A" w14:textId="77777777" w:rsidTr="00B423DF">
        <w:trPr>
          <w:cantSplit/>
        </w:trPr>
        <w:tc>
          <w:tcPr>
            <w:tcW w:w="1515" w:type="pct"/>
            <w:vAlign w:val="center"/>
          </w:tcPr>
          <w:p w14:paraId="313B0235" w14:textId="77777777" w:rsidR="003C466B" w:rsidRPr="004F083A" w:rsidRDefault="003C466B" w:rsidP="003C466B">
            <w:pPr>
              <w:jc w:val="center"/>
              <w:rPr>
                <w:bCs/>
                <w:sz w:val="22"/>
                <w:szCs w:val="22"/>
              </w:rPr>
            </w:pPr>
            <w:r w:rsidRPr="004F083A">
              <w:rPr>
                <w:bCs/>
                <w:sz w:val="22"/>
                <w:szCs w:val="22"/>
              </w:rPr>
              <w:t>URL Immagine</w:t>
            </w:r>
          </w:p>
        </w:tc>
        <w:tc>
          <w:tcPr>
            <w:tcW w:w="833" w:type="pct"/>
            <w:vAlign w:val="center"/>
          </w:tcPr>
          <w:p w14:paraId="3FD06F97" w14:textId="77777777" w:rsidR="003C466B" w:rsidRPr="004F083A" w:rsidRDefault="003C466B" w:rsidP="003C466B">
            <w:pPr>
              <w:jc w:val="center"/>
              <w:rPr>
                <w:sz w:val="22"/>
                <w:szCs w:val="22"/>
              </w:rPr>
            </w:pPr>
            <w:r w:rsidRPr="004F083A">
              <w:rPr>
                <w:sz w:val="22"/>
                <w:szCs w:val="22"/>
              </w:rPr>
              <w:t>No</w:t>
            </w:r>
          </w:p>
        </w:tc>
        <w:tc>
          <w:tcPr>
            <w:tcW w:w="2652" w:type="pct"/>
            <w:vAlign w:val="center"/>
          </w:tcPr>
          <w:p w14:paraId="3A55C082" w14:textId="77777777" w:rsidR="003C466B" w:rsidRPr="004F083A" w:rsidRDefault="003C466B" w:rsidP="00B423DF">
            <w:pPr>
              <w:jc w:val="both"/>
              <w:rPr>
                <w:sz w:val="22"/>
                <w:szCs w:val="22"/>
                <w:lang w:val="it-IT"/>
              </w:rPr>
            </w:pPr>
            <w:r w:rsidRPr="004F083A">
              <w:rPr>
                <w:sz w:val="22"/>
                <w:szCs w:val="22"/>
                <w:lang w:val="it-IT"/>
              </w:rPr>
              <w:t>Indica il percorso URL (http://www…/nome file) dove risiede l’immagine da associare al bene.</w:t>
            </w:r>
          </w:p>
        </w:tc>
      </w:tr>
    </w:tbl>
    <w:p w14:paraId="3DD14EA3" w14:textId="77777777" w:rsidR="00C53C43" w:rsidRDefault="00C53C43" w:rsidP="00C53C43">
      <w:pPr>
        <w:spacing w:after="200" w:line="360" w:lineRule="auto"/>
        <w:jc w:val="both"/>
        <w:outlineLvl w:val="0"/>
        <w:rPr>
          <w:rFonts w:eastAsia="Arial Unicode MS"/>
          <w:b/>
          <w:smallCaps/>
          <w:color w:val="000000"/>
          <w:sz w:val="22"/>
          <w:u w:color="000000"/>
          <w:lang w:val="it-IT"/>
        </w:rPr>
      </w:pPr>
      <w:bookmarkStart w:id="0" w:name="_GoBack"/>
      <w:bookmarkEnd w:id="0"/>
    </w:p>
    <w:p w14:paraId="585CB477" w14:textId="21C28DC5" w:rsidR="00750E89" w:rsidRDefault="00C53C43" w:rsidP="00305223">
      <w:pPr>
        <w:numPr>
          <w:ilvl w:val="0"/>
          <w:numId w:val="9"/>
        </w:numPr>
        <w:spacing w:after="200" w:line="360" w:lineRule="auto"/>
        <w:jc w:val="both"/>
        <w:outlineLvl w:val="0"/>
        <w:rPr>
          <w:rFonts w:eastAsia="Arial Unicode MS"/>
          <w:b/>
          <w:smallCaps/>
          <w:color w:val="000000"/>
          <w:sz w:val="22"/>
          <w:u w:color="000000"/>
          <w:lang w:val="it-IT"/>
        </w:rPr>
      </w:pPr>
      <w:r>
        <w:rPr>
          <w:rFonts w:eastAsia="Arial Unicode MS"/>
          <w:b/>
          <w:smallCaps/>
          <w:color w:val="000000"/>
          <w:sz w:val="22"/>
          <w:u w:color="000000"/>
          <w:lang w:val="it-IT"/>
        </w:rPr>
        <w:br w:type="page"/>
      </w:r>
      <w:r w:rsidR="00342D1E" w:rsidRPr="004712E5">
        <w:rPr>
          <w:rFonts w:eastAsia="Arial Unicode MS"/>
          <w:b/>
          <w:smallCaps/>
          <w:color w:val="000000"/>
          <w:sz w:val="22"/>
          <w:u w:color="000000"/>
          <w:lang w:val="it-IT"/>
        </w:rPr>
        <w:lastRenderedPageBreak/>
        <w:t>Scheda Tecnica di prodotto</w:t>
      </w:r>
      <w:r w:rsidR="00B22082" w:rsidRPr="004712E5">
        <w:rPr>
          <w:rFonts w:eastAsia="Arial Unicode MS"/>
          <w:b/>
          <w:smallCaps/>
          <w:color w:val="000000"/>
          <w:sz w:val="22"/>
          <w:u w:color="000000"/>
          <w:lang w:val="it-IT"/>
        </w:rPr>
        <w:t xml:space="preserve"> relativa agli interventi di Relamping</w:t>
      </w:r>
      <w:r w:rsidR="000C4285" w:rsidRPr="004712E5">
        <w:rPr>
          <w:rFonts w:eastAsia="Arial Unicode MS"/>
          <w:b/>
          <w:smallCaps/>
          <w:color w:val="000000"/>
          <w:sz w:val="22"/>
          <w:u w:color="000000"/>
          <w:lang w:val="it-IT"/>
        </w:rPr>
        <w:t xml:space="preserve">. </w:t>
      </w:r>
      <w:r w:rsidR="000C4285" w:rsidRPr="004712E5">
        <w:rPr>
          <w:rFonts w:eastAsia="Arial Unicode MS"/>
          <w:color w:val="000000"/>
          <w:sz w:val="22"/>
          <w:szCs w:val="22"/>
          <w:u w:color="000000"/>
          <w:lang w:val="it-IT"/>
        </w:rPr>
        <w:t xml:space="preserve">La sottostante scheda tecnica di prodotto è da intendersi sostitutiva, con riferimento ai prodotti indicati nella rubrica del presente </w:t>
      </w:r>
      <w:r w:rsidR="00041696" w:rsidRPr="004712E5">
        <w:rPr>
          <w:rFonts w:eastAsia="Arial Unicode MS"/>
          <w:color w:val="000000"/>
          <w:sz w:val="22"/>
          <w:szCs w:val="22"/>
          <w:u w:color="000000"/>
          <w:lang w:val="it-IT"/>
        </w:rPr>
        <w:t>C</w:t>
      </w:r>
      <w:r w:rsidR="000C4285" w:rsidRPr="004712E5">
        <w:rPr>
          <w:rFonts w:eastAsia="Arial Unicode MS"/>
          <w:color w:val="000000"/>
          <w:sz w:val="22"/>
          <w:szCs w:val="22"/>
          <w:u w:color="000000"/>
          <w:lang w:val="it-IT"/>
        </w:rPr>
        <w:t>apitolato</w:t>
      </w:r>
      <w:r w:rsidR="00FC4DF4" w:rsidRPr="004712E5">
        <w:rPr>
          <w:rFonts w:eastAsia="Arial Unicode MS"/>
          <w:color w:val="000000"/>
          <w:sz w:val="22"/>
          <w:szCs w:val="22"/>
          <w:u w:color="000000"/>
          <w:lang w:val="it-IT"/>
        </w:rPr>
        <w:t xml:space="preserve"> </w:t>
      </w:r>
      <w:r w:rsidR="00041696" w:rsidRPr="004712E5">
        <w:rPr>
          <w:rFonts w:eastAsia="Arial Unicode MS"/>
          <w:color w:val="000000"/>
          <w:sz w:val="22"/>
          <w:szCs w:val="22"/>
          <w:u w:color="000000"/>
          <w:lang w:val="it-IT"/>
        </w:rPr>
        <w:t>S</w:t>
      </w:r>
      <w:r w:rsidR="00FC4DF4" w:rsidRPr="004712E5">
        <w:rPr>
          <w:rFonts w:eastAsia="Arial Unicode MS"/>
          <w:color w:val="000000"/>
          <w:sz w:val="22"/>
          <w:szCs w:val="22"/>
          <w:u w:color="000000"/>
          <w:lang w:val="it-IT"/>
        </w:rPr>
        <w:t>peciale</w:t>
      </w:r>
      <w:r w:rsidR="00041696" w:rsidRPr="004712E5">
        <w:rPr>
          <w:rFonts w:eastAsia="Arial Unicode MS"/>
          <w:color w:val="000000"/>
          <w:sz w:val="22"/>
          <w:szCs w:val="22"/>
          <w:u w:color="000000"/>
          <w:lang w:val="it-IT"/>
        </w:rPr>
        <w:t xml:space="preserve"> POI</w:t>
      </w:r>
      <w:r w:rsidR="000C4285" w:rsidRPr="004712E5">
        <w:rPr>
          <w:rFonts w:eastAsia="Arial Unicode MS"/>
          <w:color w:val="000000"/>
          <w:sz w:val="22"/>
          <w:szCs w:val="22"/>
          <w:u w:color="000000"/>
          <w:lang w:val="it-IT"/>
        </w:rPr>
        <w:t>, della scheda tecnica di prodotto riportata nel Capitolato Standard</w:t>
      </w:r>
      <w:r w:rsidR="0089034B" w:rsidRPr="004712E5">
        <w:rPr>
          <w:rFonts w:eastAsia="Arial Unicode MS"/>
          <w:color w:val="000000"/>
          <w:sz w:val="22"/>
          <w:szCs w:val="22"/>
          <w:u w:color="000000"/>
          <w:lang w:val="it-IT"/>
        </w:rPr>
        <w:t xml:space="preserve"> MePA</w:t>
      </w:r>
      <w:r w:rsidR="000C4285" w:rsidRPr="004712E5">
        <w:rPr>
          <w:rFonts w:eastAsia="Arial Unicode MS"/>
          <w:color w:val="000000"/>
          <w:sz w:val="22"/>
          <w:szCs w:val="22"/>
          <w:u w:color="000000"/>
          <w:lang w:val="it-IT"/>
        </w:rPr>
        <w:t>.</w:t>
      </w:r>
    </w:p>
    <w:tbl>
      <w:tblPr>
        <w:tblW w:w="9355" w:type="dxa"/>
        <w:tblInd w:w="496" w:type="dxa"/>
        <w:tblCellMar>
          <w:left w:w="70" w:type="dxa"/>
          <w:right w:w="70" w:type="dxa"/>
        </w:tblCellMar>
        <w:tblLook w:val="04A0" w:firstRow="1" w:lastRow="0" w:firstColumn="1" w:lastColumn="0" w:noHBand="0" w:noVBand="1"/>
      </w:tblPr>
      <w:tblGrid>
        <w:gridCol w:w="2835"/>
        <w:gridCol w:w="1559"/>
        <w:gridCol w:w="4961"/>
      </w:tblGrid>
      <w:tr w:rsidR="00305223" w:rsidRPr="004F083A" w14:paraId="5D5F86CD" w14:textId="77777777" w:rsidTr="00305223">
        <w:trPr>
          <w:trHeight w:val="567"/>
        </w:trPr>
        <w:tc>
          <w:tcPr>
            <w:tcW w:w="2835" w:type="dxa"/>
            <w:tcBorders>
              <w:top w:val="single" w:sz="4" w:space="0" w:color="auto"/>
              <w:left w:val="single" w:sz="4" w:space="0" w:color="auto"/>
              <w:bottom w:val="single" w:sz="4" w:space="0" w:color="auto"/>
              <w:right w:val="single" w:sz="4" w:space="0" w:color="auto"/>
            </w:tcBorders>
            <w:shd w:val="pct12" w:color="000000" w:fill="auto"/>
            <w:vAlign w:val="center"/>
            <w:hideMark/>
          </w:tcPr>
          <w:p w14:paraId="71B802DD" w14:textId="77777777" w:rsidR="00305223" w:rsidRPr="004F083A" w:rsidRDefault="00305223" w:rsidP="00DA3731">
            <w:pPr>
              <w:jc w:val="center"/>
              <w:rPr>
                <w:b/>
                <w:bCs/>
                <w:sz w:val="22"/>
                <w:szCs w:val="22"/>
                <w:lang w:val="it-IT"/>
              </w:rPr>
            </w:pPr>
            <w:r w:rsidRPr="004F083A">
              <w:rPr>
                <w:b/>
                <w:bCs/>
                <w:sz w:val="22"/>
                <w:szCs w:val="22"/>
                <w:lang w:val="it-IT"/>
              </w:rPr>
              <w:t>Nome attributo</w:t>
            </w:r>
          </w:p>
        </w:tc>
        <w:tc>
          <w:tcPr>
            <w:tcW w:w="1559" w:type="dxa"/>
            <w:tcBorders>
              <w:top w:val="single" w:sz="4" w:space="0" w:color="auto"/>
              <w:left w:val="nil"/>
              <w:bottom w:val="single" w:sz="4" w:space="0" w:color="auto"/>
              <w:right w:val="single" w:sz="4" w:space="0" w:color="auto"/>
            </w:tcBorders>
            <w:shd w:val="pct12" w:color="000000" w:fill="auto"/>
            <w:vAlign w:val="center"/>
            <w:hideMark/>
          </w:tcPr>
          <w:p w14:paraId="3B52BC8A" w14:textId="77777777" w:rsidR="00305223" w:rsidRPr="004F083A" w:rsidRDefault="00305223" w:rsidP="00DA3731">
            <w:pPr>
              <w:jc w:val="center"/>
              <w:rPr>
                <w:b/>
                <w:bCs/>
                <w:sz w:val="22"/>
                <w:szCs w:val="22"/>
              </w:rPr>
            </w:pPr>
            <w:r w:rsidRPr="004F083A">
              <w:rPr>
                <w:b/>
                <w:bCs/>
                <w:sz w:val="22"/>
                <w:szCs w:val="22"/>
              </w:rPr>
              <w:t>Obbligatorio</w:t>
            </w:r>
          </w:p>
        </w:tc>
        <w:tc>
          <w:tcPr>
            <w:tcW w:w="4961" w:type="dxa"/>
            <w:tcBorders>
              <w:top w:val="single" w:sz="4" w:space="0" w:color="auto"/>
              <w:left w:val="nil"/>
              <w:bottom w:val="single" w:sz="4" w:space="0" w:color="auto"/>
              <w:right w:val="single" w:sz="4" w:space="0" w:color="auto"/>
            </w:tcBorders>
            <w:shd w:val="pct12" w:color="000000" w:fill="auto"/>
            <w:vAlign w:val="center"/>
            <w:hideMark/>
          </w:tcPr>
          <w:p w14:paraId="7017D551" w14:textId="77777777" w:rsidR="00305223" w:rsidRPr="004F083A" w:rsidRDefault="00305223" w:rsidP="00DA3731">
            <w:pPr>
              <w:jc w:val="center"/>
              <w:rPr>
                <w:b/>
                <w:bCs/>
                <w:sz w:val="22"/>
                <w:szCs w:val="22"/>
              </w:rPr>
            </w:pPr>
            <w:r w:rsidRPr="004F083A">
              <w:rPr>
                <w:b/>
                <w:bCs/>
                <w:sz w:val="22"/>
                <w:szCs w:val="22"/>
              </w:rPr>
              <w:t>Commenti</w:t>
            </w:r>
          </w:p>
        </w:tc>
      </w:tr>
      <w:tr w:rsidR="00305223" w:rsidRPr="00586CB6" w14:paraId="0684C2D8" w14:textId="77777777" w:rsidTr="00305223">
        <w:trPr>
          <w:trHeight w:val="567"/>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4C34269" w14:textId="77777777" w:rsidR="00305223" w:rsidRPr="004F083A" w:rsidRDefault="00305223" w:rsidP="00DA3731">
            <w:pPr>
              <w:rPr>
                <w:sz w:val="22"/>
                <w:szCs w:val="22"/>
                <w:lang w:val="it-IT"/>
              </w:rPr>
            </w:pPr>
            <w:r w:rsidRPr="004F083A">
              <w:rPr>
                <w:sz w:val="22"/>
                <w:szCs w:val="22"/>
                <w:lang w:val="it-IT"/>
              </w:rPr>
              <w:t xml:space="preserve">Tipologia di corpi a </w:t>
            </w:r>
            <w:proofErr w:type="spellStart"/>
            <w:r w:rsidRPr="004F083A">
              <w:rPr>
                <w:sz w:val="22"/>
                <w:szCs w:val="22"/>
                <w:lang w:val="it-IT"/>
              </w:rPr>
              <w:t>a</w:t>
            </w:r>
            <w:proofErr w:type="spellEnd"/>
            <w:r w:rsidRPr="004F083A">
              <w:rPr>
                <w:sz w:val="22"/>
                <w:szCs w:val="22"/>
                <w:lang w:val="it-IT"/>
              </w:rPr>
              <w:t xml:space="preserve"> LED</w:t>
            </w:r>
          </w:p>
        </w:tc>
        <w:tc>
          <w:tcPr>
            <w:tcW w:w="1559" w:type="dxa"/>
            <w:tcBorders>
              <w:top w:val="nil"/>
              <w:left w:val="nil"/>
              <w:bottom w:val="single" w:sz="4" w:space="0" w:color="auto"/>
              <w:right w:val="single" w:sz="4" w:space="0" w:color="auto"/>
            </w:tcBorders>
            <w:shd w:val="clear" w:color="auto" w:fill="auto"/>
            <w:vAlign w:val="center"/>
            <w:hideMark/>
          </w:tcPr>
          <w:p w14:paraId="41D78B1D" w14:textId="77777777" w:rsidR="00305223" w:rsidRPr="004F083A" w:rsidRDefault="00305223" w:rsidP="00DA3731">
            <w:pPr>
              <w:jc w:val="center"/>
              <w:rPr>
                <w:sz w:val="22"/>
                <w:szCs w:val="22"/>
              </w:rPr>
            </w:pPr>
            <w:r w:rsidRPr="004F083A">
              <w:rPr>
                <w:sz w:val="22"/>
                <w:szCs w:val="22"/>
              </w:rPr>
              <w:t>Si</w:t>
            </w:r>
          </w:p>
        </w:tc>
        <w:tc>
          <w:tcPr>
            <w:tcW w:w="4961" w:type="dxa"/>
            <w:tcBorders>
              <w:top w:val="nil"/>
              <w:left w:val="nil"/>
              <w:bottom w:val="single" w:sz="4" w:space="0" w:color="auto"/>
              <w:right w:val="single" w:sz="4" w:space="0" w:color="auto"/>
            </w:tcBorders>
            <w:shd w:val="clear" w:color="auto" w:fill="auto"/>
            <w:vAlign w:val="center"/>
            <w:hideMark/>
          </w:tcPr>
          <w:p w14:paraId="0500B0A1" w14:textId="669E608C" w:rsidR="00305223" w:rsidRPr="004F083A" w:rsidRDefault="00305223" w:rsidP="009A39BB">
            <w:pPr>
              <w:rPr>
                <w:sz w:val="22"/>
                <w:szCs w:val="22"/>
                <w:lang w:val="it-IT"/>
              </w:rPr>
            </w:pPr>
            <w:r w:rsidRPr="004F083A">
              <w:rPr>
                <w:sz w:val="22"/>
                <w:szCs w:val="22"/>
                <w:lang w:val="it-IT"/>
              </w:rPr>
              <w:t>Faretti; Lampade; Tubi; Plafoniere; Proiettori; Paletti Piantane</w:t>
            </w:r>
          </w:p>
        </w:tc>
      </w:tr>
      <w:tr w:rsidR="00305223" w:rsidRPr="00586CB6" w14:paraId="1C840DD1" w14:textId="77777777" w:rsidTr="00305223">
        <w:trPr>
          <w:trHeight w:val="567"/>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E338E58" w14:textId="77777777" w:rsidR="00305223" w:rsidRPr="004F083A" w:rsidRDefault="00305223" w:rsidP="00DA3731">
            <w:pPr>
              <w:rPr>
                <w:sz w:val="22"/>
                <w:szCs w:val="22"/>
              </w:rPr>
            </w:pPr>
            <w:r w:rsidRPr="004F083A">
              <w:rPr>
                <w:sz w:val="22"/>
                <w:szCs w:val="22"/>
              </w:rPr>
              <w:t>Destinazione d’uso ambiente</w:t>
            </w:r>
          </w:p>
        </w:tc>
        <w:tc>
          <w:tcPr>
            <w:tcW w:w="1559" w:type="dxa"/>
            <w:tcBorders>
              <w:top w:val="nil"/>
              <w:left w:val="nil"/>
              <w:bottom w:val="single" w:sz="4" w:space="0" w:color="auto"/>
              <w:right w:val="single" w:sz="4" w:space="0" w:color="auto"/>
            </w:tcBorders>
            <w:shd w:val="clear" w:color="auto" w:fill="auto"/>
            <w:vAlign w:val="center"/>
            <w:hideMark/>
          </w:tcPr>
          <w:p w14:paraId="0AE89073" w14:textId="77777777" w:rsidR="00305223" w:rsidRPr="004F083A" w:rsidRDefault="00305223" w:rsidP="00DA3731">
            <w:pPr>
              <w:jc w:val="center"/>
              <w:rPr>
                <w:sz w:val="22"/>
                <w:szCs w:val="22"/>
              </w:rPr>
            </w:pPr>
            <w:r w:rsidRPr="004F083A">
              <w:rPr>
                <w:sz w:val="22"/>
                <w:szCs w:val="22"/>
              </w:rPr>
              <w:t>Si</w:t>
            </w:r>
          </w:p>
        </w:tc>
        <w:tc>
          <w:tcPr>
            <w:tcW w:w="4961" w:type="dxa"/>
            <w:tcBorders>
              <w:top w:val="nil"/>
              <w:left w:val="nil"/>
              <w:bottom w:val="single" w:sz="4" w:space="0" w:color="auto"/>
              <w:right w:val="single" w:sz="4" w:space="0" w:color="auto"/>
            </w:tcBorders>
            <w:shd w:val="clear" w:color="auto" w:fill="auto"/>
            <w:vAlign w:val="center"/>
            <w:hideMark/>
          </w:tcPr>
          <w:p w14:paraId="16FA5463" w14:textId="77777777" w:rsidR="00305223" w:rsidRPr="004F083A" w:rsidRDefault="00305223" w:rsidP="00DA3731">
            <w:pPr>
              <w:rPr>
                <w:sz w:val="22"/>
                <w:szCs w:val="22"/>
                <w:lang w:val="it-IT"/>
              </w:rPr>
            </w:pPr>
            <w:r w:rsidRPr="004F083A">
              <w:rPr>
                <w:sz w:val="22"/>
                <w:szCs w:val="22"/>
                <w:lang w:val="it-IT"/>
              </w:rPr>
              <w:t>Uffici; Sale riunioni; Archivi; Locali scolastici; Mensa; Cortili o parcheggi esterni; Parcheggio interno; Palestre</w:t>
            </w:r>
          </w:p>
        </w:tc>
      </w:tr>
      <w:tr w:rsidR="00305223" w:rsidRPr="004F083A" w14:paraId="294FF3CC" w14:textId="77777777" w:rsidTr="00305223">
        <w:trPr>
          <w:trHeight w:val="51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112D914" w14:textId="77777777" w:rsidR="00305223" w:rsidRPr="004F083A" w:rsidRDefault="00305223" w:rsidP="00DA3731">
            <w:pPr>
              <w:rPr>
                <w:sz w:val="22"/>
                <w:szCs w:val="22"/>
              </w:rPr>
            </w:pPr>
            <w:r w:rsidRPr="004F083A">
              <w:rPr>
                <w:sz w:val="22"/>
                <w:szCs w:val="22"/>
              </w:rPr>
              <w:t>Superficie ambiente (m</w:t>
            </w:r>
            <w:r w:rsidRPr="004F083A">
              <w:rPr>
                <w:sz w:val="22"/>
                <w:szCs w:val="22"/>
                <w:vertAlign w:val="superscript"/>
              </w:rPr>
              <w:t>2</w:t>
            </w:r>
            <w:r w:rsidRPr="004F083A">
              <w:rPr>
                <w:sz w:val="22"/>
                <w:szCs w:val="22"/>
              </w:rPr>
              <w:t>)</w:t>
            </w:r>
          </w:p>
        </w:tc>
        <w:tc>
          <w:tcPr>
            <w:tcW w:w="1559" w:type="dxa"/>
            <w:tcBorders>
              <w:top w:val="nil"/>
              <w:left w:val="nil"/>
              <w:bottom w:val="single" w:sz="4" w:space="0" w:color="auto"/>
              <w:right w:val="single" w:sz="4" w:space="0" w:color="auto"/>
            </w:tcBorders>
            <w:shd w:val="clear" w:color="auto" w:fill="auto"/>
            <w:vAlign w:val="center"/>
            <w:hideMark/>
          </w:tcPr>
          <w:p w14:paraId="1B1E990D" w14:textId="77777777" w:rsidR="00305223" w:rsidRPr="004F083A" w:rsidRDefault="00305223" w:rsidP="00DA3731">
            <w:pPr>
              <w:jc w:val="center"/>
              <w:rPr>
                <w:sz w:val="22"/>
                <w:szCs w:val="22"/>
              </w:rPr>
            </w:pPr>
            <w:r w:rsidRPr="004F083A">
              <w:rPr>
                <w:sz w:val="22"/>
                <w:szCs w:val="22"/>
              </w:rPr>
              <w:t xml:space="preserve">Si </w:t>
            </w:r>
          </w:p>
        </w:tc>
        <w:tc>
          <w:tcPr>
            <w:tcW w:w="4961" w:type="dxa"/>
            <w:tcBorders>
              <w:top w:val="nil"/>
              <w:left w:val="nil"/>
              <w:bottom w:val="single" w:sz="4" w:space="0" w:color="auto"/>
              <w:right w:val="single" w:sz="4" w:space="0" w:color="auto"/>
            </w:tcBorders>
            <w:shd w:val="clear" w:color="auto" w:fill="auto"/>
            <w:vAlign w:val="center"/>
            <w:hideMark/>
          </w:tcPr>
          <w:p w14:paraId="7FE257D1" w14:textId="77777777" w:rsidR="00305223" w:rsidRPr="004F083A" w:rsidRDefault="00305223" w:rsidP="00DA3731">
            <w:pPr>
              <w:rPr>
                <w:sz w:val="22"/>
                <w:szCs w:val="22"/>
              </w:rPr>
            </w:pPr>
            <w:r w:rsidRPr="004F083A">
              <w:rPr>
                <w:sz w:val="22"/>
                <w:szCs w:val="22"/>
              </w:rPr>
              <w:t> </w:t>
            </w:r>
          </w:p>
        </w:tc>
      </w:tr>
      <w:tr w:rsidR="00305223" w:rsidRPr="004F083A" w14:paraId="1D880D7B" w14:textId="77777777" w:rsidTr="00305223">
        <w:trPr>
          <w:trHeight w:val="567"/>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B48B126" w14:textId="77777777" w:rsidR="00305223" w:rsidRPr="004F083A" w:rsidRDefault="00305223" w:rsidP="00DA3731">
            <w:pPr>
              <w:rPr>
                <w:sz w:val="22"/>
                <w:szCs w:val="22"/>
              </w:rPr>
            </w:pPr>
            <w:r w:rsidRPr="004F083A">
              <w:rPr>
                <w:sz w:val="22"/>
                <w:szCs w:val="22"/>
              </w:rPr>
              <w:t>Installazione</w:t>
            </w:r>
          </w:p>
        </w:tc>
        <w:tc>
          <w:tcPr>
            <w:tcW w:w="1559" w:type="dxa"/>
            <w:tcBorders>
              <w:top w:val="nil"/>
              <w:left w:val="nil"/>
              <w:bottom w:val="single" w:sz="4" w:space="0" w:color="auto"/>
              <w:right w:val="single" w:sz="4" w:space="0" w:color="auto"/>
            </w:tcBorders>
            <w:shd w:val="clear" w:color="auto" w:fill="auto"/>
            <w:vAlign w:val="center"/>
            <w:hideMark/>
          </w:tcPr>
          <w:p w14:paraId="2EC0E90E" w14:textId="77777777" w:rsidR="00305223" w:rsidRPr="004F083A" w:rsidRDefault="00305223" w:rsidP="00DA3731">
            <w:pPr>
              <w:jc w:val="center"/>
              <w:rPr>
                <w:sz w:val="22"/>
                <w:szCs w:val="22"/>
              </w:rPr>
            </w:pPr>
            <w:r w:rsidRPr="004F083A">
              <w:rPr>
                <w:sz w:val="22"/>
                <w:szCs w:val="22"/>
              </w:rPr>
              <w:t>Si</w:t>
            </w:r>
          </w:p>
        </w:tc>
        <w:tc>
          <w:tcPr>
            <w:tcW w:w="4961" w:type="dxa"/>
            <w:tcBorders>
              <w:top w:val="nil"/>
              <w:left w:val="nil"/>
              <w:bottom w:val="single" w:sz="4" w:space="0" w:color="auto"/>
              <w:right w:val="single" w:sz="4" w:space="0" w:color="auto"/>
            </w:tcBorders>
            <w:shd w:val="clear" w:color="auto" w:fill="auto"/>
            <w:noWrap/>
            <w:vAlign w:val="center"/>
            <w:hideMark/>
          </w:tcPr>
          <w:p w14:paraId="39B9874B" w14:textId="77777777" w:rsidR="00305223" w:rsidRPr="004F083A" w:rsidRDefault="00305223" w:rsidP="00DA3731">
            <w:pPr>
              <w:rPr>
                <w:sz w:val="22"/>
                <w:szCs w:val="22"/>
              </w:rPr>
            </w:pPr>
            <w:r w:rsidRPr="004F083A">
              <w:rPr>
                <w:sz w:val="22"/>
                <w:szCs w:val="22"/>
              </w:rPr>
              <w:t>Interno ; Esterno</w:t>
            </w:r>
          </w:p>
        </w:tc>
      </w:tr>
      <w:tr w:rsidR="00305223" w:rsidRPr="00586CB6" w14:paraId="4127A243" w14:textId="77777777" w:rsidTr="00305223">
        <w:trPr>
          <w:trHeight w:val="567"/>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779FB3B" w14:textId="77777777" w:rsidR="00305223" w:rsidRPr="004F083A" w:rsidRDefault="00305223" w:rsidP="00DA3731">
            <w:pPr>
              <w:rPr>
                <w:sz w:val="22"/>
                <w:szCs w:val="22"/>
              </w:rPr>
            </w:pPr>
            <w:r w:rsidRPr="004F083A">
              <w:rPr>
                <w:sz w:val="22"/>
                <w:szCs w:val="22"/>
              </w:rPr>
              <w:t>Posizionamento</w:t>
            </w:r>
          </w:p>
        </w:tc>
        <w:tc>
          <w:tcPr>
            <w:tcW w:w="1559" w:type="dxa"/>
            <w:tcBorders>
              <w:top w:val="nil"/>
              <w:left w:val="nil"/>
              <w:bottom w:val="single" w:sz="4" w:space="0" w:color="auto"/>
              <w:right w:val="single" w:sz="4" w:space="0" w:color="auto"/>
            </w:tcBorders>
            <w:shd w:val="clear" w:color="auto" w:fill="auto"/>
            <w:vAlign w:val="center"/>
            <w:hideMark/>
          </w:tcPr>
          <w:p w14:paraId="6DA7CE36" w14:textId="77777777" w:rsidR="00305223" w:rsidRPr="004F083A" w:rsidRDefault="00305223" w:rsidP="00DA3731">
            <w:pPr>
              <w:jc w:val="center"/>
              <w:rPr>
                <w:sz w:val="22"/>
                <w:szCs w:val="22"/>
              </w:rPr>
            </w:pPr>
            <w:r w:rsidRPr="004F083A">
              <w:rPr>
                <w:sz w:val="22"/>
                <w:szCs w:val="22"/>
              </w:rPr>
              <w:t>Si</w:t>
            </w:r>
          </w:p>
        </w:tc>
        <w:tc>
          <w:tcPr>
            <w:tcW w:w="4961" w:type="dxa"/>
            <w:tcBorders>
              <w:top w:val="nil"/>
              <w:left w:val="nil"/>
              <w:bottom w:val="single" w:sz="4" w:space="0" w:color="auto"/>
              <w:right w:val="single" w:sz="4" w:space="0" w:color="auto"/>
            </w:tcBorders>
            <w:shd w:val="clear" w:color="auto" w:fill="auto"/>
            <w:noWrap/>
            <w:vAlign w:val="center"/>
            <w:hideMark/>
          </w:tcPr>
          <w:p w14:paraId="599EEE45" w14:textId="77777777" w:rsidR="00305223" w:rsidRPr="004F083A" w:rsidRDefault="00305223" w:rsidP="00DA3731">
            <w:pPr>
              <w:rPr>
                <w:sz w:val="22"/>
                <w:szCs w:val="22"/>
                <w:lang w:val="it-IT"/>
              </w:rPr>
            </w:pPr>
            <w:r w:rsidRPr="004F083A">
              <w:rPr>
                <w:sz w:val="22"/>
                <w:szCs w:val="22"/>
                <w:lang w:val="it-IT"/>
              </w:rPr>
              <w:t>A soffitto; A terra; A parete</w:t>
            </w:r>
          </w:p>
        </w:tc>
      </w:tr>
      <w:tr w:rsidR="00305223" w:rsidRPr="004F083A" w14:paraId="3BE6C13A" w14:textId="77777777" w:rsidTr="00305223">
        <w:trPr>
          <w:trHeight w:val="51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2888ABF9" w14:textId="77777777" w:rsidR="00305223" w:rsidRPr="004F083A" w:rsidRDefault="00305223" w:rsidP="00DA3731">
            <w:pPr>
              <w:rPr>
                <w:sz w:val="22"/>
                <w:szCs w:val="22"/>
              </w:rPr>
            </w:pPr>
            <w:r w:rsidRPr="004F083A">
              <w:rPr>
                <w:sz w:val="22"/>
                <w:szCs w:val="22"/>
              </w:rPr>
              <w:t>Numero corpi a LED</w:t>
            </w:r>
          </w:p>
        </w:tc>
        <w:tc>
          <w:tcPr>
            <w:tcW w:w="1559" w:type="dxa"/>
            <w:tcBorders>
              <w:top w:val="nil"/>
              <w:left w:val="nil"/>
              <w:bottom w:val="single" w:sz="4" w:space="0" w:color="auto"/>
              <w:right w:val="single" w:sz="4" w:space="0" w:color="auto"/>
            </w:tcBorders>
            <w:shd w:val="clear" w:color="auto" w:fill="auto"/>
            <w:vAlign w:val="center"/>
            <w:hideMark/>
          </w:tcPr>
          <w:p w14:paraId="1E3A3BD0" w14:textId="77777777" w:rsidR="00305223" w:rsidRPr="004F083A" w:rsidRDefault="00305223" w:rsidP="00DA3731">
            <w:pPr>
              <w:jc w:val="center"/>
              <w:rPr>
                <w:sz w:val="22"/>
                <w:szCs w:val="22"/>
              </w:rPr>
            </w:pPr>
            <w:r w:rsidRPr="004F083A">
              <w:rPr>
                <w:sz w:val="22"/>
                <w:szCs w:val="22"/>
              </w:rPr>
              <w:t>Si</w:t>
            </w:r>
          </w:p>
        </w:tc>
        <w:tc>
          <w:tcPr>
            <w:tcW w:w="4961" w:type="dxa"/>
            <w:tcBorders>
              <w:top w:val="nil"/>
              <w:left w:val="nil"/>
              <w:bottom w:val="single" w:sz="4" w:space="0" w:color="auto"/>
              <w:right w:val="single" w:sz="4" w:space="0" w:color="auto"/>
            </w:tcBorders>
            <w:shd w:val="clear" w:color="auto" w:fill="auto"/>
            <w:vAlign w:val="center"/>
            <w:hideMark/>
          </w:tcPr>
          <w:p w14:paraId="3B15518F" w14:textId="77777777" w:rsidR="00305223" w:rsidRPr="004F083A" w:rsidRDefault="00305223" w:rsidP="00DA3731">
            <w:pPr>
              <w:rPr>
                <w:sz w:val="22"/>
                <w:szCs w:val="22"/>
              </w:rPr>
            </w:pPr>
            <w:r w:rsidRPr="004F083A">
              <w:rPr>
                <w:sz w:val="22"/>
                <w:szCs w:val="22"/>
              </w:rPr>
              <w:t> </w:t>
            </w:r>
          </w:p>
        </w:tc>
      </w:tr>
      <w:tr w:rsidR="00305223" w:rsidRPr="004F083A" w14:paraId="14F6D4DE" w14:textId="77777777" w:rsidTr="00305223">
        <w:trPr>
          <w:trHeight w:val="51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E8FA597" w14:textId="77777777" w:rsidR="00305223" w:rsidRPr="004F083A" w:rsidRDefault="00305223" w:rsidP="00DA3731">
            <w:pPr>
              <w:rPr>
                <w:sz w:val="22"/>
                <w:szCs w:val="22"/>
              </w:rPr>
            </w:pPr>
            <w:r w:rsidRPr="004F083A">
              <w:rPr>
                <w:sz w:val="22"/>
                <w:szCs w:val="22"/>
              </w:rPr>
              <w:t>Durata (ore)</w:t>
            </w:r>
          </w:p>
        </w:tc>
        <w:tc>
          <w:tcPr>
            <w:tcW w:w="1559" w:type="dxa"/>
            <w:tcBorders>
              <w:top w:val="nil"/>
              <w:left w:val="nil"/>
              <w:bottom w:val="single" w:sz="4" w:space="0" w:color="auto"/>
              <w:right w:val="single" w:sz="4" w:space="0" w:color="auto"/>
            </w:tcBorders>
            <w:shd w:val="clear" w:color="auto" w:fill="auto"/>
            <w:vAlign w:val="center"/>
            <w:hideMark/>
          </w:tcPr>
          <w:p w14:paraId="07D04B54" w14:textId="77777777" w:rsidR="00305223" w:rsidRPr="004F083A" w:rsidRDefault="00305223" w:rsidP="00DA3731">
            <w:pPr>
              <w:jc w:val="center"/>
              <w:rPr>
                <w:sz w:val="22"/>
                <w:szCs w:val="22"/>
              </w:rPr>
            </w:pPr>
            <w:r w:rsidRPr="004F083A">
              <w:rPr>
                <w:sz w:val="22"/>
                <w:szCs w:val="22"/>
              </w:rPr>
              <w:t>Si</w:t>
            </w:r>
          </w:p>
        </w:tc>
        <w:tc>
          <w:tcPr>
            <w:tcW w:w="4961" w:type="dxa"/>
            <w:tcBorders>
              <w:top w:val="nil"/>
              <w:left w:val="nil"/>
              <w:bottom w:val="single" w:sz="4" w:space="0" w:color="auto"/>
              <w:right w:val="single" w:sz="4" w:space="0" w:color="auto"/>
            </w:tcBorders>
            <w:shd w:val="clear" w:color="auto" w:fill="auto"/>
            <w:vAlign w:val="center"/>
            <w:hideMark/>
          </w:tcPr>
          <w:p w14:paraId="5CE69534" w14:textId="77777777" w:rsidR="00305223" w:rsidRPr="004F083A" w:rsidRDefault="00305223" w:rsidP="00DA3731">
            <w:pPr>
              <w:rPr>
                <w:sz w:val="22"/>
                <w:szCs w:val="22"/>
              </w:rPr>
            </w:pPr>
            <w:r w:rsidRPr="004F083A">
              <w:rPr>
                <w:sz w:val="22"/>
                <w:szCs w:val="22"/>
              </w:rPr>
              <w:t> </w:t>
            </w:r>
          </w:p>
        </w:tc>
      </w:tr>
      <w:tr w:rsidR="00305223" w:rsidRPr="004F083A" w14:paraId="5F23E9E7" w14:textId="77777777" w:rsidTr="00305223">
        <w:trPr>
          <w:trHeight w:val="51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C510E7B" w14:textId="77777777" w:rsidR="00305223" w:rsidRPr="004F083A" w:rsidRDefault="00305223" w:rsidP="00DA3731">
            <w:pPr>
              <w:rPr>
                <w:sz w:val="22"/>
                <w:szCs w:val="22"/>
              </w:rPr>
            </w:pPr>
            <w:r w:rsidRPr="004F083A">
              <w:rPr>
                <w:sz w:val="22"/>
                <w:szCs w:val="22"/>
              </w:rPr>
              <w:t>Potenza (Watt)</w:t>
            </w:r>
          </w:p>
        </w:tc>
        <w:tc>
          <w:tcPr>
            <w:tcW w:w="1559" w:type="dxa"/>
            <w:tcBorders>
              <w:top w:val="nil"/>
              <w:left w:val="nil"/>
              <w:bottom w:val="single" w:sz="4" w:space="0" w:color="auto"/>
              <w:right w:val="single" w:sz="4" w:space="0" w:color="auto"/>
            </w:tcBorders>
            <w:shd w:val="clear" w:color="auto" w:fill="auto"/>
            <w:vAlign w:val="center"/>
            <w:hideMark/>
          </w:tcPr>
          <w:p w14:paraId="2CA5699D" w14:textId="77777777" w:rsidR="00305223" w:rsidRPr="004F083A" w:rsidRDefault="00305223" w:rsidP="00DA3731">
            <w:pPr>
              <w:jc w:val="center"/>
              <w:rPr>
                <w:sz w:val="22"/>
                <w:szCs w:val="22"/>
              </w:rPr>
            </w:pPr>
            <w:r w:rsidRPr="004F083A">
              <w:rPr>
                <w:sz w:val="22"/>
                <w:szCs w:val="22"/>
              </w:rPr>
              <w:t>Si</w:t>
            </w:r>
          </w:p>
        </w:tc>
        <w:tc>
          <w:tcPr>
            <w:tcW w:w="4961" w:type="dxa"/>
            <w:tcBorders>
              <w:top w:val="nil"/>
              <w:left w:val="nil"/>
              <w:bottom w:val="single" w:sz="4" w:space="0" w:color="auto"/>
              <w:right w:val="single" w:sz="4" w:space="0" w:color="auto"/>
            </w:tcBorders>
            <w:shd w:val="clear" w:color="auto" w:fill="auto"/>
            <w:vAlign w:val="center"/>
            <w:hideMark/>
          </w:tcPr>
          <w:p w14:paraId="60D17936" w14:textId="77777777" w:rsidR="00305223" w:rsidRPr="004F083A" w:rsidRDefault="00305223" w:rsidP="00DA3731">
            <w:pPr>
              <w:rPr>
                <w:sz w:val="22"/>
                <w:szCs w:val="22"/>
              </w:rPr>
            </w:pPr>
            <w:r w:rsidRPr="004F083A">
              <w:rPr>
                <w:sz w:val="22"/>
                <w:szCs w:val="22"/>
              </w:rPr>
              <w:t> </w:t>
            </w:r>
          </w:p>
        </w:tc>
      </w:tr>
      <w:tr w:rsidR="00305223" w:rsidRPr="004F083A" w14:paraId="70661A0F" w14:textId="77777777" w:rsidTr="00305223">
        <w:trPr>
          <w:trHeight w:val="51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FD12239" w14:textId="77777777" w:rsidR="00305223" w:rsidRPr="004F083A" w:rsidRDefault="00305223" w:rsidP="00DA3731">
            <w:pPr>
              <w:rPr>
                <w:sz w:val="22"/>
                <w:szCs w:val="22"/>
              </w:rPr>
            </w:pPr>
            <w:r w:rsidRPr="004F083A">
              <w:rPr>
                <w:sz w:val="22"/>
                <w:szCs w:val="22"/>
              </w:rPr>
              <w:t>Flusso luminoso (lm)</w:t>
            </w:r>
          </w:p>
        </w:tc>
        <w:tc>
          <w:tcPr>
            <w:tcW w:w="1559" w:type="dxa"/>
            <w:tcBorders>
              <w:top w:val="nil"/>
              <w:left w:val="nil"/>
              <w:bottom w:val="single" w:sz="4" w:space="0" w:color="auto"/>
              <w:right w:val="single" w:sz="4" w:space="0" w:color="auto"/>
            </w:tcBorders>
            <w:shd w:val="clear" w:color="auto" w:fill="auto"/>
            <w:vAlign w:val="center"/>
            <w:hideMark/>
          </w:tcPr>
          <w:p w14:paraId="151AE6B6" w14:textId="77777777" w:rsidR="00305223" w:rsidRPr="004F083A" w:rsidRDefault="00305223" w:rsidP="00DA3731">
            <w:pPr>
              <w:jc w:val="center"/>
              <w:rPr>
                <w:sz w:val="22"/>
                <w:szCs w:val="22"/>
              </w:rPr>
            </w:pPr>
            <w:r w:rsidRPr="004F083A">
              <w:rPr>
                <w:sz w:val="22"/>
                <w:szCs w:val="22"/>
              </w:rPr>
              <w:t>Si</w:t>
            </w:r>
          </w:p>
        </w:tc>
        <w:tc>
          <w:tcPr>
            <w:tcW w:w="4961" w:type="dxa"/>
            <w:tcBorders>
              <w:top w:val="nil"/>
              <w:left w:val="nil"/>
              <w:bottom w:val="single" w:sz="4" w:space="0" w:color="auto"/>
              <w:right w:val="single" w:sz="4" w:space="0" w:color="auto"/>
            </w:tcBorders>
            <w:shd w:val="clear" w:color="auto" w:fill="auto"/>
            <w:vAlign w:val="center"/>
            <w:hideMark/>
          </w:tcPr>
          <w:p w14:paraId="44118D4A" w14:textId="77777777" w:rsidR="00305223" w:rsidRPr="004F083A" w:rsidRDefault="00305223" w:rsidP="00DA3731">
            <w:pPr>
              <w:rPr>
                <w:sz w:val="22"/>
                <w:szCs w:val="22"/>
              </w:rPr>
            </w:pPr>
            <w:r w:rsidRPr="004F083A">
              <w:rPr>
                <w:sz w:val="22"/>
                <w:szCs w:val="22"/>
              </w:rPr>
              <w:t> </w:t>
            </w:r>
          </w:p>
        </w:tc>
      </w:tr>
      <w:tr w:rsidR="00305223" w:rsidRPr="004F083A" w14:paraId="6F1C6380" w14:textId="77777777" w:rsidTr="00305223">
        <w:trPr>
          <w:trHeight w:val="51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802AAE9" w14:textId="77777777" w:rsidR="00305223" w:rsidRPr="004F083A" w:rsidRDefault="00305223" w:rsidP="00DA3731">
            <w:pPr>
              <w:rPr>
                <w:sz w:val="22"/>
                <w:szCs w:val="22"/>
              </w:rPr>
            </w:pPr>
            <w:r w:rsidRPr="004F083A">
              <w:rPr>
                <w:sz w:val="22"/>
                <w:szCs w:val="22"/>
              </w:rPr>
              <w:t>Temperatura colore (°K)</w:t>
            </w:r>
          </w:p>
        </w:tc>
        <w:tc>
          <w:tcPr>
            <w:tcW w:w="1559" w:type="dxa"/>
            <w:tcBorders>
              <w:top w:val="nil"/>
              <w:left w:val="nil"/>
              <w:bottom w:val="single" w:sz="4" w:space="0" w:color="auto"/>
              <w:right w:val="single" w:sz="4" w:space="0" w:color="auto"/>
            </w:tcBorders>
            <w:shd w:val="clear" w:color="auto" w:fill="auto"/>
            <w:vAlign w:val="center"/>
            <w:hideMark/>
          </w:tcPr>
          <w:p w14:paraId="3963710E" w14:textId="77777777" w:rsidR="00305223" w:rsidRPr="004F083A" w:rsidRDefault="00305223" w:rsidP="00DA3731">
            <w:pPr>
              <w:jc w:val="center"/>
              <w:rPr>
                <w:sz w:val="22"/>
                <w:szCs w:val="22"/>
              </w:rPr>
            </w:pPr>
            <w:r w:rsidRPr="004F083A">
              <w:rPr>
                <w:sz w:val="22"/>
                <w:szCs w:val="22"/>
              </w:rPr>
              <w:t>Si</w:t>
            </w:r>
          </w:p>
        </w:tc>
        <w:tc>
          <w:tcPr>
            <w:tcW w:w="4961" w:type="dxa"/>
            <w:tcBorders>
              <w:top w:val="nil"/>
              <w:left w:val="nil"/>
              <w:bottom w:val="single" w:sz="4" w:space="0" w:color="auto"/>
              <w:right w:val="single" w:sz="4" w:space="0" w:color="auto"/>
            </w:tcBorders>
            <w:shd w:val="clear" w:color="auto" w:fill="auto"/>
            <w:vAlign w:val="center"/>
            <w:hideMark/>
          </w:tcPr>
          <w:p w14:paraId="36F4F9B5" w14:textId="77777777" w:rsidR="00305223" w:rsidRPr="004F083A" w:rsidRDefault="00305223" w:rsidP="00DA3731">
            <w:pPr>
              <w:rPr>
                <w:sz w:val="22"/>
                <w:szCs w:val="22"/>
              </w:rPr>
            </w:pPr>
            <w:r w:rsidRPr="004F083A">
              <w:rPr>
                <w:sz w:val="22"/>
                <w:szCs w:val="22"/>
              </w:rPr>
              <w:t> </w:t>
            </w:r>
          </w:p>
        </w:tc>
      </w:tr>
      <w:tr w:rsidR="00305223" w:rsidRPr="004F083A" w14:paraId="510D3E2E" w14:textId="77777777" w:rsidTr="00305223">
        <w:trPr>
          <w:trHeight w:val="51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F222208" w14:textId="77777777" w:rsidR="00305223" w:rsidRPr="004F083A" w:rsidRDefault="00305223" w:rsidP="00DA3731">
            <w:pPr>
              <w:rPr>
                <w:sz w:val="22"/>
                <w:szCs w:val="22"/>
              </w:rPr>
            </w:pPr>
            <w:r w:rsidRPr="004F083A">
              <w:rPr>
                <w:sz w:val="22"/>
                <w:szCs w:val="22"/>
              </w:rPr>
              <w:t>Angolo di emissione (°)</w:t>
            </w:r>
          </w:p>
        </w:tc>
        <w:tc>
          <w:tcPr>
            <w:tcW w:w="1559" w:type="dxa"/>
            <w:tcBorders>
              <w:top w:val="nil"/>
              <w:left w:val="nil"/>
              <w:bottom w:val="single" w:sz="4" w:space="0" w:color="auto"/>
              <w:right w:val="single" w:sz="4" w:space="0" w:color="auto"/>
            </w:tcBorders>
            <w:shd w:val="clear" w:color="auto" w:fill="auto"/>
            <w:vAlign w:val="center"/>
            <w:hideMark/>
          </w:tcPr>
          <w:p w14:paraId="4B806266" w14:textId="77777777" w:rsidR="00305223" w:rsidRPr="004F083A" w:rsidRDefault="00305223" w:rsidP="00DA3731">
            <w:pPr>
              <w:jc w:val="center"/>
              <w:rPr>
                <w:sz w:val="22"/>
                <w:szCs w:val="22"/>
              </w:rPr>
            </w:pPr>
            <w:r w:rsidRPr="004F083A">
              <w:rPr>
                <w:sz w:val="22"/>
                <w:szCs w:val="22"/>
              </w:rPr>
              <w:t>Si</w:t>
            </w:r>
          </w:p>
        </w:tc>
        <w:tc>
          <w:tcPr>
            <w:tcW w:w="4961" w:type="dxa"/>
            <w:tcBorders>
              <w:top w:val="nil"/>
              <w:left w:val="nil"/>
              <w:bottom w:val="single" w:sz="4" w:space="0" w:color="auto"/>
              <w:right w:val="single" w:sz="4" w:space="0" w:color="auto"/>
            </w:tcBorders>
            <w:shd w:val="clear" w:color="auto" w:fill="auto"/>
            <w:noWrap/>
            <w:vAlign w:val="center"/>
            <w:hideMark/>
          </w:tcPr>
          <w:p w14:paraId="174BC690" w14:textId="77777777" w:rsidR="00305223" w:rsidRPr="004F083A" w:rsidRDefault="00305223" w:rsidP="00DA3731">
            <w:pPr>
              <w:rPr>
                <w:sz w:val="22"/>
                <w:szCs w:val="22"/>
              </w:rPr>
            </w:pPr>
            <w:r w:rsidRPr="004F083A">
              <w:rPr>
                <w:sz w:val="22"/>
                <w:szCs w:val="22"/>
              </w:rPr>
              <w:t> </w:t>
            </w:r>
          </w:p>
        </w:tc>
      </w:tr>
      <w:tr w:rsidR="00305223" w:rsidRPr="004F083A" w14:paraId="115FB7F1" w14:textId="77777777" w:rsidTr="0059620E">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74993" w14:textId="77777777" w:rsidR="00305223" w:rsidRPr="004F083A" w:rsidRDefault="00305223" w:rsidP="00DA3731">
            <w:pPr>
              <w:rPr>
                <w:sz w:val="22"/>
                <w:szCs w:val="22"/>
              </w:rPr>
            </w:pPr>
            <w:r w:rsidRPr="004F083A">
              <w:rPr>
                <w:sz w:val="22"/>
                <w:szCs w:val="22"/>
              </w:rPr>
              <w:t>CRI/R</w:t>
            </w:r>
            <w:r w:rsidRPr="004F083A">
              <w:rPr>
                <w:sz w:val="22"/>
                <w:szCs w:val="22"/>
                <w:vertAlign w:val="subscript"/>
              </w:rPr>
              <w:t>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C6E3E3C" w14:textId="77777777" w:rsidR="00305223" w:rsidRPr="004F083A" w:rsidRDefault="00305223" w:rsidP="00DA3731">
            <w:pPr>
              <w:jc w:val="center"/>
              <w:rPr>
                <w:sz w:val="22"/>
                <w:szCs w:val="22"/>
              </w:rPr>
            </w:pPr>
            <w:r w:rsidRPr="004F083A">
              <w:rPr>
                <w:sz w:val="22"/>
                <w:szCs w:val="22"/>
              </w:rPr>
              <w:t>Si</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7C562F40" w14:textId="77777777" w:rsidR="00305223" w:rsidRPr="004F083A" w:rsidRDefault="00305223" w:rsidP="00DA3731">
            <w:pPr>
              <w:rPr>
                <w:sz w:val="22"/>
                <w:szCs w:val="22"/>
              </w:rPr>
            </w:pPr>
            <w:r w:rsidRPr="004F083A">
              <w:rPr>
                <w:sz w:val="22"/>
                <w:szCs w:val="22"/>
              </w:rPr>
              <w:t>&gt;= 80</w:t>
            </w:r>
          </w:p>
        </w:tc>
      </w:tr>
      <w:tr w:rsidR="00305223" w:rsidRPr="004F083A" w14:paraId="61E6E205" w14:textId="77777777" w:rsidTr="0059620E">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05E9C" w14:textId="77777777" w:rsidR="00305223" w:rsidRPr="004F083A" w:rsidRDefault="00305223" w:rsidP="00DA3731">
            <w:pPr>
              <w:rPr>
                <w:sz w:val="22"/>
                <w:szCs w:val="22"/>
              </w:rPr>
            </w:pPr>
            <w:r w:rsidRPr="004F083A">
              <w:rPr>
                <w:sz w:val="22"/>
                <w:szCs w:val="22"/>
              </w:rPr>
              <w:t>Grado IP</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4DA5A25" w14:textId="77777777" w:rsidR="00305223" w:rsidRPr="004F083A" w:rsidRDefault="00305223" w:rsidP="00DA3731">
            <w:pPr>
              <w:jc w:val="center"/>
              <w:rPr>
                <w:sz w:val="22"/>
                <w:szCs w:val="22"/>
              </w:rPr>
            </w:pPr>
            <w:r w:rsidRPr="004F083A">
              <w:rPr>
                <w:sz w:val="22"/>
                <w:szCs w:val="22"/>
              </w:rPr>
              <w:t>Si</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17C0FE42" w14:textId="77777777" w:rsidR="00305223" w:rsidRPr="004F083A" w:rsidRDefault="00305223" w:rsidP="00DA3731">
            <w:pPr>
              <w:rPr>
                <w:sz w:val="22"/>
                <w:szCs w:val="22"/>
              </w:rPr>
            </w:pPr>
            <w:r w:rsidRPr="004F083A">
              <w:rPr>
                <w:sz w:val="22"/>
                <w:szCs w:val="22"/>
              </w:rPr>
              <w:t> </w:t>
            </w:r>
          </w:p>
        </w:tc>
      </w:tr>
      <w:tr w:rsidR="00305223" w:rsidRPr="004F083A" w14:paraId="4DBC17E9" w14:textId="77777777" w:rsidTr="00305223">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9D4EC" w14:textId="77777777" w:rsidR="00305223" w:rsidRPr="004F083A" w:rsidRDefault="00305223" w:rsidP="00DA3731">
            <w:pPr>
              <w:rPr>
                <w:sz w:val="22"/>
                <w:szCs w:val="22"/>
              </w:rPr>
            </w:pPr>
            <w:r w:rsidRPr="004F083A">
              <w:rPr>
                <w:sz w:val="22"/>
                <w:szCs w:val="22"/>
              </w:rPr>
              <w:t>Alimentazione (V)</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9EA4C48" w14:textId="77777777" w:rsidR="00305223" w:rsidRPr="004F083A" w:rsidRDefault="00305223" w:rsidP="00DA3731">
            <w:pPr>
              <w:jc w:val="center"/>
              <w:rPr>
                <w:sz w:val="22"/>
                <w:szCs w:val="22"/>
              </w:rPr>
            </w:pPr>
            <w:r w:rsidRPr="004F083A">
              <w:rPr>
                <w:sz w:val="22"/>
                <w:szCs w:val="22"/>
              </w:rPr>
              <w:t>Si</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5C7D4B3C" w14:textId="77777777" w:rsidR="00305223" w:rsidRPr="004F083A" w:rsidRDefault="00305223" w:rsidP="00DA3731">
            <w:pPr>
              <w:rPr>
                <w:sz w:val="22"/>
                <w:szCs w:val="22"/>
              </w:rPr>
            </w:pPr>
            <w:r w:rsidRPr="004F083A">
              <w:rPr>
                <w:sz w:val="22"/>
                <w:szCs w:val="22"/>
              </w:rPr>
              <w:t> </w:t>
            </w:r>
          </w:p>
        </w:tc>
      </w:tr>
      <w:tr w:rsidR="00305223" w:rsidRPr="004F083A" w14:paraId="228CAC0C" w14:textId="77777777" w:rsidTr="00305223">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E1AB0" w14:textId="77777777" w:rsidR="00305223" w:rsidRPr="004F083A" w:rsidRDefault="00305223" w:rsidP="00DA3731">
            <w:pPr>
              <w:rPr>
                <w:sz w:val="22"/>
                <w:szCs w:val="22"/>
                <w:lang w:val="it-IT"/>
              </w:rPr>
            </w:pPr>
            <w:r w:rsidRPr="004F083A">
              <w:rPr>
                <w:sz w:val="22"/>
                <w:szCs w:val="22"/>
                <w:lang w:val="it-IT"/>
              </w:rPr>
              <w:t xml:space="preserve">Dimensioni </w:t>
            </w:r>
            <w:r w:rsidRPr="004F083A">
              <w:rPr>
                <w:i/>
                <w:iCs/>
                <w:sz w:val="22"/>
                <w:szCs w:val="22"/>
                <w:lang w:val="it-IT"/>
              </w:rPr>
              <w:t>l</w:t>
            </w:r>
            <w:r w:rsidRPr="004F083A">
              <w:rPr>
                <w:sz w:val="22"/>
                <w:szCs w:val="22"/>
                <w:lang w:val="it-IT"/>
              </w:rPr>
              <w:t xml:space="preserve"> x </w:t>
            </w:r>
            <w:r w:rsidRPr="004F083A">
              <w:rPr>
                <w:i/>
                <w:iCs/>
                <w:sz w:val="22"/>
                <w:szCs w:val="22"/>
                <w:lang w:val="it-IT"/>
              </w:rPr>
              <w:t>h</w:t>
            </w:r>
            <w:r w:rsidRPr="004F083A">
              <w:rPr>
                <w:sz w:val="22"/>
                <w:szCs w:val="22"/>
                <w:lang w:val="it-IT"/>
              </w:rPr>
              <w:t xml:space="preserve"> x </w:t>
            </w:r>
            <w:r w:rsidRPr="004F083A">
              <w:rPr>
                <w:i/>
                <w:iCs/>
                <w:sz w:val="22"/>
                <w:szCs w:val="22"/>
                <w:lang w:val="it-IT"/>
              </w:rPr>
              <w:t>p</w:t>
            </w:r>
            <w:r w:rsidRPr="004F083A">
              <w:rPr>
                <w:sz w:val="22"/>
                <w:szCs w:val="22"/>
                <w:lang w:val="it-IT"/>
              </w:rPr>
              <w:t xml:space="preserve"> (mm)</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082B1FF" w14:textId="77777777" w:rsidR="00305223" w:rsidRPr="004F083A" w:rsidRDefault="00305223" w:rsidP="00DA3731">
            <w:pPr>
              <w:jc w:val="center"/>
              <w:rPr>
                <w:sz w:val="22"/>
                <w:szCs w:val="22"/>
              </w:rPr>
            </w:pPr>
            <w:r w:rsidRPr="004F083A">
              <w:rPr>
                <w:sz w:val="22"/>
                <w:szCs w:val="22"/>
              </w:rPr>
              <w:t>Si</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50F3583B" w14:textId="77777777" w:rsidR="00305223" w:rsidRPr="004F083A" w:rsidRDefault="00305223" w:rsidP="00DA3731">
            <w:pPr>
              <w:rPr>
                <w:sz w:val="22"/>
                <w:szCs w:val="22"/>
              </w:rPr>
            </w:pPr>
            <w:r w:rsidRPr="004F083A">
              <w:rPr>
                <w:sz w:val="22"/>
                <w:szCs w:val="22"/>
              </w:rPr>
              <w:t> </w:t>
            </w:r>
          </w:p>
        </w:tc>
      </w:tr>
      <w:tr w:rsidR="00305223" w:rsidRPr="00586CB6" w14:paraId="3E44CB80" w14:textId="77777777" w:rsidTr="00305223">
        <w:trPr>
          <w:trHeight w:val="567"/>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10F52" w14:textId="77777777" w:rsidR="00305223" w:rsidRPr="004F083A" w:rsidRDefault="00305223" w:rsidP="00DA3731">
            <w:pPr>
              <w:jc w:val="both"/>
              <w:rPr>
                <w:sz w:val="22"/>
                <w:szCs w:val="22"/>
              </w:rPr>
            </w:pPr>
            <w:r w:rsidRPr="004F083A">
              <w:rPr>
                <w:sz w:val="22"/>
                <w:szCs w:val="22"/>
              </w:rPr>
              <w:t>Certificazioni di processo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8A570CA" w14:textId="77777777" w:rsidR="00305223" w:rsidRPr="004F083A" w:rsidRDefault="00305223" w:rsidP="00DA3731">
            <w:pPr>
              <w:jc w:val="center"/>
              <w:rPr>
                <w:sz w:val="22"/>
                <w:szCs w:val="22"/>
              </w:rPr>
            </w:pPr>
            <w:r w:rsidRPr="004F083A">
              <w:rPr>
                <w:sz w:val="22"/>
                <w:szCs w:val="22"/>
              </w:rPr>
              <w:t>Si</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2DE4D179" w14:textId="77777777" w:rsidR="00305223" w:rsidRPr="004F083A" w:rsidRDefault="00305223" w:rsidP="00DA3731">
            <w:pPr>
              <w:jc w:val="both"/>
              <w:rPr>
                <w:sz w:val="22"/>
                <w:szCs w:val="22"/>
                <w:lang w:val="it-IT"/>
              </w:rPr>
            </w:pPr>
            <w:r w:rsidRPr="004F083A">
              <w:rPr>
                <w:sz w:val="22"/>
                <w:szCs w:val="22"/>
                <w:lang w:val="it-IT"/>
              </w:rPr>
              <w:t>UNI CEI 11352|; UNI CEI 11339;|ISO 9001; ISO 14001; EMAS; ISO 50001; OHSAS 18001; Altra certificazione</w:t>
            </w:r>
          </w:p>
        </w:tc>
      </w:tr>
      <w:tr w:rsidR="00305223" w:rsidRPr="00586CB6" w14:paraId="30177FF8" w14:textId="77777777" w:rsidTr="00305223">
        <w:trPr>
          <w:trHeight w:val="567"/>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03FBE58" w14:textId="77777777" w:rsidR="00305223" w:rsidRPr="004F083A" w:rsidRDefault="00305223" w:rsidP="00DA3731">
            <w:pPr>
              <w:jc w:val="both"/>
              <w:rPr>
                <w:sz w:val="22"/>
                <w:szCs w:val="22"/>
              </w:rPr>
            </w:pPr>
            <w:r w:rsidRPr="004F083A">
              <w:rPr>
                <w:sz w:val="22"/>
                <w:szCs w:val="22"/>
              </w:rPr>
              <w:t>Eco-Etichette di prodotto</w:t>
            </w:r>
          </w:p>
        </w:tc>
        <w:tc>
          <w:tcPr>
            <w:tcW w:w="1559" w:type="dxa"/>
            <w:tcBorders>
              <w:top w:val="nil"/>
              <w:left w:val="nil"/>
              <w:bottom w:val="single" w:sz="4" w:space="0" w:color="auto"/>
              <w:right w:val="single" w:sz="4" w:space="0" w:color="auto"/>
            </w:tcBorders>
            <w:shd w:val="clear" w:color="auto" w:fill="auto"/>
            <w:vAlign w:val="center"/>
            <w:hideMark/>
          </w:tcPr>
          <w:p w14:paraId="587635CC" w14:textId="6F95E162" w:rsidR="00305223" w:rsidRPr="004F083A" w:rsidRDefault="00586CB6" w:rsidP="00DA3731">
            <w:pPr>
              <w:jc w:val="center"/>
              <w:rPr>
                <w:sz w:val="22"/>
                <w:szCs w:val="22"/>
              </w:rPr>
            </w:pPr>
            <w:r>
              <w:rPr>
                <w:sz w:val="22"/>
                <w:szCs w:val="22"/>
              </w:rPr>
              <w:t>No</w:t>
            </w:r>
          </w:p>
        </w:tc>
        <w:tc>
          <w:tcPr>
            <w:tcW w:w="4961" w:type="dxa"/>
            <w:tcBorders>
              <w:top w:val="nil"/>
              <w:left w:val="nil"/>
              <w:bottom w:val="single" w:sz="4" w:space="0" w:color="auto"/>
              <w:right w:val="single" w:sz="4" w:space="0" w:color="auto"/>
            </w:tcBorders>
            <w:shd w:val="clear" w:color="auto" w:fill="auto"/>
            <w:vAlign w:val="center"/>
            <w:hideMark/>
          </w:tcPr>
          <w:p w14:paraId="49FAA84D" w14:textId="77777777" w:rsidR="00305223" w:rsidRPr="004F083A" w:rsidRDefault="00305223" w:rsidP="00DA3731">
            <w:pPr>
              <w:jc w:val="both"/>
              <w:rPr>
                <w:sz w:val="22"/>
                <w:szCs w:val="22"/>
                <w:lang w:val="it-IT"/>
              </w:rPr>
            </w:pPr>
            <w:proofErr w:type="spellStart"/>
            <w:r w:rsidRPr="004F083A">
              <w:rPr>
                <w:sz w:val="22"/>
                <w:szCs w:val="22"/>
                <w:lang w:val="it-IT"/>
              </w:rPr>
              <w:t>Ecolabel</w:t>
            </w:r>
            <w:proofErr w:type="spellEnd"/>
            <w:r w:rsidRPr="004F083A">
              <w:rPr>
                <w:sz w:val="22"/>
                <w:szCs w:val="22"/>
                <w:lang w:val="it-IT"/>
              </w:rPr>
              <w:t xml:space="preserve"> Europeo; Etichetta ISO 14024 - Tipo I ;Altra etichetta</w:t>
            </w:r>
          </w:p>
        </w:tc>
      </w:tr>
      <w:tr w:rsidR="00305223" w:rsidRPr="004F083A" w14:paraId="28D651C6" w14:textId="77777777" w:rsidTr="0059620E">
        <w:trPr>
          <w:trHeight w:val="51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0951973" w14:textId="77777777" w:rsidR="00305223" w:rsidRPr="004F083A" w:rsidRDefault="00305223" w:rsidP="00DA3731">
            <w:pPr>
              <w:rPr>
                <w:sz w:val="22"/>
                <w:szCs w:val="22"/>
              </w:rPr>
            </w:pPr>
            <w:r w:rsidRPr="004F083A">
              <w:rPr>
                <w:sz w:val="22"/>
                <w:szCs w:val="22"/>
              </w:rPr>
              <w:t>Etichettatura energetica</w:t>
            </w:r>
          </w:p>
        </w:tc>
        <w:tc>
          <w:tcPr>
            <w:tcW w:w="1559" w:type="dxa"/>
            <w:tcBorders>
              <w:top w:val="nil"/>
              <w:left w:val="nil"/>
              <w:bottom w:val="single" w:sz="4" w:space="0" w:color="auto"/>
              <w:right w:val="single" w:sz="4" w:space="0" w:color="auto"/>
            </w:tcBorders>
            <w:shd w:val="clear" w:color="auto" w:fill="auto"/>
            <w:vAlign w:val="center"/>
            <w:hideMark/>
          </w:tcPr>
          <w:p w14:paraId="42FE07C6" w14:textId="1D99E9C9" w:rsidR="00305223" w:rsidRPr="004F083A" w:rsidRDefault="00305223" w:rsidP="00DA3731">
            <w:pPr>
              <w:jc w:val="center"/>
              <w:rPr>
                <w:sz w:val="22"/>
                <w:szCs w:val="22"/>
              </w:rPr>
            </w:pPr>
            <w:r w:rsidRPr="004F083A">
              <w:rPr>
                <w:sz w:val="22"/>
                <w:szCs w:val="22"/>
              </w:rPr>
              <w:t>Si</w:t>
            </w:r>
          </w:p>
        </w:tc>
        <w:tc>
          <w:tcPr>
            <w:tcW w:w="4961" w:type="dxa"/>
            <w:tcBorders>
              <w:top w:val="nil"/>
              <w:left w:val="nil"/>
              <w:bottom w:val="single" w:sz="4" w:space="0" w:color="auto"/>
              <w:right w:val="single" w:sz="4" w:space="0" w:color="auto"/>
            </w:tcBorders>
            <w:shd w:val="clear" w:color="auto" w:fill="auto"/>
            <w:vAlign w:val="center"/>
            <w:hideMark/>
          </w:tcPr>
          <w:p w14:paraId="267D1D35" w14:textId="77777777" w:rsidR="00305223" w:rsidRPr="004F083A" w:rsidRDefault="00305223" w:rsidP="00DA3731">
            <w:pPr>
              <w:jc w:val="both"/>
              <w:rPr>
                <w:sz w:val="22"/>
                <w:szCs w:val="22"/>
                <w:lang w:val="it-IT"/>
              </w:rPr>
            </w:pPr>
          </w:p>
        </w:tc>
      </w:tr>
    </w:tbl>
    <w:p w14:paraId="2873B813" w14:textId="77777777" w:rsidR="00C53C43" w:rsidRDefault="00C53C43">
      <w:r>
        <w:br w:type="page"/>
      </w:r>
    </w:p>
    <w:tbl>
      <w:tblPr>
        <w:tblW w:w="9497" w:type="dxa"/>
        <w:shd w:val="clear" w:color="000000" w:fill="FFFFFF"/>
        <w:tblCellMar>
          <w:left w:w="70" w:type="dxa"/>
          <w:right w:w="70" w:type="dxa"/>
        </w:tblCellMar>
        <w:tblLook w:val="04A0" w:firstRow="1" w:lastRow="0" w:firstColumn="1" w:lastColumn="0" w:noHBand="0" w:noVBand="1"/>
      </w:tblPr>
      <w:tblGrid>
        <w:gridCol w:w="9497"/>
      </w:tblGrid>
      <w:tr w:rsidR="00F036BF" w:rsidRPr="00586CB6" w14:paraId="64B6758A" w14:textId="77777777" w:rsidTr="00C53C43">
        <w:trPr>
          <w:trHeight w:val="510"/>
        </w:trPr>
        <w:tc>
          <w:tcPr>
            <w:tcW w:w="9497" w:type="dxa"/>
            <w:shd w:val="clear" w:color="000000" w:fill="FFFFFF"/>
            <w:vAlign w:val="center"/>
            <w:hideMark/>
          </w:tcPr>
          <w:p w14:paraId="0E0B5B33" w14:textId="516EF32C" w:rsidR="00F036BF" w:rsidRPr="00312AC9" w:rsidRDefault="00F036BF" w:rsidP="005E16AF">
            <w:pPr>
              <w:spacing w:line="360" w:lineRule="auto"/>
              <w:jc w:val="both"/>
              <w:rPr>
                <w:b/>
                <w:bCs/>
                <w:sz w:val="22"/>
                <w:szCs w:val="22"/>
                <w:lang w:val="it-IT"/>
              </w:rPr>
            </w:pPr>
            <w:r w:rsidRPr="00312AC9">
              <w:rPr>
                <w:b/>
                <w:bCs/>
                <w:sz w:val="22"/>
                <w:szCs w:val="22"/>
                <w:lang w:val="it-IT"/>
              </w:rPr>
              <w:t>Interventi di relamping - Legenda degli Attributi</w:t>
            </w:r>
          </w:p>
        </w:tc>
      </w:tr>
      <w:tr w:rsidR="00F036BF" w:rsidRPr="00586CB6" w14:paraId="03326874" w14:textId="77777777" w:rsidTr="00C53C43">
        <w:trPr>
          <w:trHeight w:val="340"/>
        </w:trPr>
        <w:tc>
          <w:tcPr>
            <w:tcW w:w="9497" w:type="dxa"/>
            <w:shd w:val="clear" w:color="000000" w:fill="FFFFFF"/>
            <w:vAlign w:val="center"/>
            <w:hideMark/>
          </w:tcPr>
          <w:p w14:paraId="46C809F2" w14:textId="77777777" w:rsidR="00F036BF" w:rsidRPr="00312AC9" w:rsidRDefault="00F036BF" w:rsidP="005E16AF">
            <w:pPr>
              <w:spacing w:line="360" w:lineRule="auto"/>
              <w:jc w:val="both"/>
              <w:rPr>
                <w:sz w:val="22"/>
                <w:szCs w:val="22"/>
                <w:lang w:val="it-IT"/>
              </w:rPr>
            </w:pPr>
            <w:r w:rsidRPr="00F036BF">
              <w:rPr>
                <w:b/>
                <w:sz w:val="22"/>
                <w:szCs w:val="22"/>
                <w:lang w:val="it-IT"/>
              </w:rPr>
              <w:t>Tipologia corpi a LED:</w:t>
            </w:r>
            <w:r w:rsidRPr="00312AC9">
              <w:rPr>
                <w:sz w:val="22"/>
                <w:szCs w:val="22"/>
                <w:lang w:val="it-IT"/>
              </w:rPr>
              <w:t xml:space="preserve"> indicare la tipologia tra le alternative indicate;</w:t>
            </w:r>
          </w:p>
        </w:tc>
      </w:tr>
      <w:tr w:rsidR="00F036BF" w:rsidRPr="00586CB6" w14:paraId="3B33031A" w14:textId="77777777" w:rsidTr="00C53C43">
        <w:trPr>
          <w:trHeight w:val="340"/>
        </w:trPr>
        <w:tc>
          <w:tcPr>
            <w:tcW w:w="9497" w:type="dxa"/>
            <w:shd w:val="clear" w:color="000000" w:fill="FFFFFF"/>
            <w:vAlign w:val="center"/>
            <w:hideMark/>
          </w:tcPr>
          <w:p w14:paraId="3FDDCDF5" w14:textId="77777777" w:rsidR="00F036BF" w:rsidRPr="00312AC9" w:rsidRDefault="00F036BF" w:rsidP="005E16AF">
            <w:pPr>
              <w:spacing w:line="360" w:lineRule="auto"/>
              <w:jc w:val="both"/>
              <w:rPr>
                <w:sz w:val="22"/>
                <w:szCs w:val="22"/>
                <w:lang w:val="it-IT"/>
              </w:rPr>
            </w:pPr>
            <w:r w:rsidRPr="00F036BF">
              <w:rPr>
                <w:b/>
                <w:sz w:val="22"/>
                <w:szCs w:val="22"/>
                <w:lang w:val="it-IT"/>
              </w:rPr>
              <w:t>Destinazione d’uso ambiente:</w:t>
            </w:r>
            <w:r w:rsidRPr="00312AC9">
              <w:rPr>
                <w:sz w:val="22"/>
                <w:szCs w:val="22"/>
                <w:lang w:val="it-IT"/>
              </w:rPr>
              <w:t xml:space="preserve"> indicare la destinazione d’uso tra le alternative indicate;</w:t>
            </w:r>
          </w:p>
        </w:tc>
      </w:tr>
      <w:tr w:rsidR="00F036BF" w:rsidRPr="00586CB6" w14:paraId="4E04FD9B" w14:textId="77777777" w:rsidTr="00C53C43">
        <w:trPr>
          <w:trHeight w:val="553"/>
        </w:trPr>
        <w:tc>
          <w:tcPr>
            <w:tcW w:w="9497" w:type="dxa"/>
            <w:shd w:val="clear" w:color="000000" w:fill="FFFFFF"/>
            <w:vAlign w:val="center"/>
            <w:hideMark/>
          </w:tcPr>
          <w:p w14:paraId="2F0AD7C9" w14:textId="66B59AC4" w:rsidR="00F036BF" w:rsidRPr="00312AC9" w:rsidRDefault="00F036BF" w:rsidP="005E16AF">
            <w:pPr>
              <w:spacing w:line="360" w:lineRule="auto"/>
              <w:jc w:val="both"/>
              <w:rPr>
                <w:sz w:val="22"/>
                <w:szCs w:val="22"/>
                <w:lang w:val="it-IT"/>
              </w:rPr>
            </w:pPr>
            <w:r w:rsidRPr="00F036BF">
              <w:rPr>
                <w:b/>
                <w:sz w:val="22"/>
                <w:szCs w:val="22"/>
                <w:lang w:val="it-IT"/>
              </w:rPr>
              <w:t>Superficie ambiente (m</w:t>
            </w:r>
            <w:r w:rsidR="00811A09" w:rsidRPr="005E16AF">
              <w:rPr>
                <w:b/>
                <w:sz w:val="22"/>
                <w:szCs w:val="22"/>
                <w:vertAlign w:val="superscript"/>
                <w:lang w:val="it-IT"/>
              </w:rPr>
              <w:t>2</w:t>
            </w:r>
            <w:r w:rsidRPr="00F036BF">
              <w:rPr>
                <w:b/>
                <w:sz w:val="22"/>
                <w:szCs w:val="22"/>
                <w:lang w:val="it-IT"/>
              </w:rPr>
              <w:t>):</w:t>
            </w:r>
            <w:r w:rsidRPr="00312AC9">
              <w:rPr>
                <w:sz w:val="22"/>
                <w:szCs w:val="22"/>
                <w:lang w:val="it-IT"/>
              </w:rPr>
              <w:t xml:space="preserve"> indicare la superficie dell’ambiente nel quale deve essere realizzato l’intervento di relamping;</w:t>
            </w:r>
          </w:p>
        </w:tc>
      </w:tr>
      <w:tr w:rsidR="00F036BF" w:rsidRPr="00586CB6" w14:paraId="04EDB716" w14:textId="77777777" w:rsidTr="00C53C43">
        <w:trPr>
          <w:trHeight w:val="191"/>
        </w:trPr>
        <w:tc>
          <w:tcPr>
            <w:tcW w:w="9497" w:type="dxa"/>
            <w:shd w:val="clear" w:color="000000" w:fill="FFFFFF"/>
            <w:vAlign w:val="center"/>
            <w:hideMark/>
          </w:tcPr>
          <w:p w14:paraId="3081F701" w14:textId="77777777" w:rsidR="00F036BF" w:rsidRPr="00312AC9" w:rsidRDefault="00F036BF" w:rsidP="005E16AF">
            <w:pPr>
              <w:spacing w:line="360" w:lineRule="auto"/>
              <w:jc w:val="both"/>
              <w:rPr>
                <w:sz w:val="22"/>
                <w:szCs w:val="22"/>
                <w:lang w:val="it-IT"/>
              </w:rPr>
            </w:pPr>
            <w:r w:rsidRPr="00F036BF">
              <w:rPr>
                <w:b/>
                <w:sz w:val="22"/>
                <w:szCs w:val="22"/>
                <w:lang w:val="it-IT"/>
              </w:rPr>
              <w:t>Installazione:</w:t>
            </w:r>
            <w:r w:rsidRPr="00312AC9">
              <w:rPr>
                <w:sz w:val="22"/>
                <w:szCs w:val="22"/>
                <w:lang w:val="it-IT"/>
              </w:rPr>
              <w:t xml:space="preserve"> indicare se la soluzione di relamping è prevista per ambienti interni o esterni; </w:t>
            </w:r>
          </w:p>
        </w:tc>
      </w:tr>
      <w:tr w:rsidR="00F036BF" w:rsidRPr="00586CB6" w14:paraId="365D2CB7" w14:textId="77777777" w:rsidTr="00C53C43">
        <w:trPr>
          <w:trHeight w:val="309"/>
        </w:trPr>
        <w:tc>
          <w:tcPr>
            <w:tcW w:w="9497" w:type="dxa"/>
            <w:shd w:val="clear" w:color="000000" w:fill="FFFFFF"/>
            <w:vAlign w:val="center"/>
            <w:hideMark/>
          </w:tcPr>
          <w:p w14:paraId="2E9572AD" w14:textId="1DEBE8A1" w:rsidR="00F036BF" w:rsidRPr="00312AC9" w:rsidRDefault="00F036BF" w:rsidP="005E16AF">
            <w:pPr>
              <w:spacing w:line="360" w:lineRule="auto"/>
              <w:jc w:val="both"/>
              <w:rPr>
                <w:sz w:val="22"/>
                <w:szCs w:val="22"/>
                <w:lang w:val="it-IT"/>
              </w:rPr>
            </w:pPr>
            <w:r w:rsidRPr="00F036BF">
              <w:rPr>
                <w:b/>
                <w:sz w:val="22"/>
                <w:szCs w:val="22"/>
                <w:lang w:val="it-IT"/>
              </w:rPr>
              <w:t>Posizionamento:</w:t>
            </w:r>
            <w:r w:rsidRPr="00312AC9">
              <w:rPr>
                <w:sz w:val="22"/>
                <w:szCs w:val="22"/>
                <w:lang w:val="it-IT"/>
              </w:rPr>
              <w:t xml:space="preserve"> indicare se i corpi a LED sono posizionati a terra, a parete o ad incasso</w:t>
            </w:r>
            <w:r w:rsidR="009A39BB">
              <w:rPr>
                <w:sz w:val="22"/>
                <w:szCs w:val="22"/>
                <w:lang w:val="it-IT"/>
              </w:rPr>
              <w:t>;</w:t>
            </w:r>
          </w:p>
        </w:tc>
      </w:tr>
      <w:tr w:rsidR="00F036BF" w:rsidRPr="00586CB6" w14:paraId="40ADCADB" w14:textId="77777777" w:rsidTr="00C53C43">
        <w:trPr>
          <w:trHeight w:val="499"/>
        </w:trPr>
        <w:tc>
          <w:tcPr>
            <w:tcW w:w="9497" w:type="dxa"/>
            <w:shd w:val="clear" w:color="000000" w:fill="FFFFFF"/>
            <w:vAlign w:val="center"/>
            <w:hideMark/>
          </w:tcPr>
          <w:p w14:paraId="2F894877" w14:textId="77777777" w:rsidR="00F036BF" w:rsidRPr="00312AC9" w:rsidRDefault="00F036BF" w:rsidP="005E16AF">
            <w:pPr>
              <w:spacing w:line="360" w:lineRule="auto"/>
              <w:jc w:val="both"/>
              <w:rPr>
                <w:sz w:val="22"/>
                <w:szCs w:val="22"/>
                <w:lang w:val="it-IT"/>
              </w:rPr>
            </w:pPr>
            <w:r w:rsidRPr="00F036BF">
              <w:rPr>
                <w:b/>
                <w:sz w:val="22"/>
                <w:szCs w:val="22"/>
                <w:lang w:val="it-IT"/>
              </w:rPr>
              <w:t>Numero corpi a LED:</w:t>
            </w:r>
            <w:r w:rsidRPr="00312AC9">
              <w:rPr>
                <w:sz w:val="22"/>
                <w:szCs w:val="22"/>
                <w:lang w:val="it-IT"/>
              </w:rPr>
              <w:t xml:space="preserve"> indicare il numero dei corpi a LED previsto in funzione degli attributi di cui sopra;</w:t>
            </w:r>
          </w:p>
        </w:tc>
      </w:tr>
      <w:tr w:rsidR="00F036BF" w:rsidRPr="00586CB6" w14:paraId="0FB347D5" w14:textId="77777777" w:rsidTr="00C53C43">
        <w:trPr>
          <w:trHeight w:val="567"/>
        </w:trPr>
        <w:tc>
          <w:tcPr>
            <w:tcW w:w="9497" w:type="dxa"/>
            <w:shd w:val="clear" w:color="000000" w:fill="FFFFFF"/>
            <w:vAlign w:val="center"/>
            <w:hideMark/>
          </w:tcPr>
          <w:p w14:paraId="664C144A" w14:textId="77777777" w:rsidR="00F036BF" w:rsidRPr="00312AC9" w:rsidRDefault="00F036BF" w:rsidP="005E16AF">
            <w:pPr>
              <w:spacing w:line="360" w:lineRule="auto"/>
              <w:jc w:val="both"/>
              <w:rPr>
                <w:sz w:val="22"/>
                <w:szCs w:val="22"/>
                <w:lang w:val="it-IT"/>
              </w:rPr>
            </w:pPr>
            <w:r w:rsidRPr="0021410D">
              <w:rPr>
                <w:b/>
                <w:sz w:val="22"/>
                <w:szCs w:val="22"/>
                <w:lang w:val="it-IT"/>
              </w:rPr>
              <w:t>Durata (ore):</w:t>
            </w:r>
            <w:r w:rsidRPr="00312AC9">
              <w:rPr>
                <w:sz w:val="22"/>
                <w:szCs w:val="22"/>
                <w:lang w:val="it-IT"/>
              </w:rPr>
              <w:t xml:space="preserve"> indicare il numero delle ore di funzionamento di un corpo a LED per le quali si garantisce un flusso luminoso non inferiore a 70 lm;</w:t>
            </w:r>
          </w:p>
        </w:tc>
      </w:tr>
      <w:tr w:rsidR="00F036BF" w:rsidRPr="00586CB6" w14:paraId="42A0013F" w14:textId="77777777" w:rsidTr="00C53C43">
        <w:trPr>
          <w:trHeight w:val="340"/>
        </w:trPr>
        <w:tc>
          <w:tcPr>
            <w:tcW w:w="9497" w:type="dxa"/>
            <w:shd w:val="clear" w:color="000000" w:fill="FFFFFF"/>
            <w:vAlign w:val="center"/>
            <w:hideMark/>
          </w:tcPr>
          <w:p w14:paraId="6BD76DE6" w14:textId="77777777" w:rsidR="00F036BF" w:rsidRPr="00312AC9" w:rsidRDefault="00F036BF" w:rsidP="005E16AF">
            <w:pPr>
              <w:spacing w:line="360" w:lineRule="auto"/>
              <w:jc w:val="both"/>
              <w:rPr>
                <w:sz w:val="22"/>
                <w:szCs w:val="22"/>
                <w:lang w:val="it-IT"/>
              </w:rPr>
            </w:pPr>
            <w:r w:rsidRPr="0021410D">
              <w:rPr>
                <w:b/>
                <w:sz w:val="22"/>
                <w:szCs w:val="22"/>
                <w:lang w:val="it-IT"/>
              </w:rPr>
              <w:t>Potenza (Watt):</w:t>
            </w:r>
            <w:r w:rsidRPr="00312AC9">
              <w:rPr>
                <w:sz w:val="22"/>
                <w:szCs w:val="22"/>
                <w:lang w:val="it-IT"/>
              </w:rPr>
              <w:t xml:space="preserve"> indicare la potenza assorbita dal corpo a LED;</w:t>
            </w:r>
          </w:p>
        </w:tc>
      </w:tr>
      <w:tr w:rsidR="00F036BF" w:rsidRPr="00586CB6" w14:paraId="71AF4FD3" w14:textId="77777777" w:rsidTr="00C53C43">
        <w:trPr>
          <w:trHeight w:val="340"/>
        </w:trPr>
        <w:tc>
          <w:tcPr>
            <w:tcW w:w="9497" w:type="dxa"/>
            <w:shd w:val="clear" w:color="000000" w:fill="FFFFFF"/>
            <w:vAlign w:val="center"/>
            <w:hideMark/>
          </w:tcPr>
          <w:p w14:paraId="0F5CAEEC" w14:textId="77777777" w:rsidR="00F036BF" w:rsidRPr="00312AC9" w:rsidRDefault="00F036BF" w:rsidP="005E16AF">
            <w:pPr>
              <w:spacing w:line="360" w:lineRule="auto"/>
              <w:jc w:val="both"/>
              <w:rPr>
                <w:sz w:val="22"/>
                <w:szCs w:val="22"/>
                <w:lang w:val="it-IT"/>
              </w:rPr>
            </w:pPr>
            <w:r w:rsidRPr="0021410D">
              <w:rPr>
                <w:b/>
                <w:sz w:val="22"/>
                <w:szCs w:val="22"/>
                <w:lang w:val="it-IT"/>
              </w:rPr>
              <w:t>Flusso luminoso:</w:t>
            </w:r>
            <w:r w:rsidRPr="00312AC9">
              <w:rPr>
                <w:sz w:val="22"/>
                <w:szCs w:val="22"/>
                <w:lang w:val="it-IT"/>
              </w:rPr>
              <w:t xml:space="preserve"> indicare la quantità di luce emessa in un secondo dal corpo a LED;</w:t>
            </w:r>
          </w:p>
        </w:tc>
      </w:tr>
      <w:tr w:rsidR="00F036BF" w:rsidRPr="00586CB6" w14:paraId="38F1E5C6" w14:textId="77777777" w:rsidTr="00C53C43">
        <w:trPr>
          <w:trHeight w:val="340"/>
        </w:trPr>
        <w:tc>
          <w:tcPr>
            <w:tcW w:w="9497" w:type="dxa"/>
            <w:shd w:val="clear" w:color="000000" w:fill="FFFFFF"/>
            <w:vAlign w:val="center"/>
            <w:hideMark/>
          </w:tcPr>
          <w:p w14:paraId="6D96456A" w14:textId="7E48294C" w:rsidR="00F036BF" w:rsidRPr="00312AC9" w:rsidRDefault="00F036BF" w:rsidP="005E16AF">
            <w:pPr>
              <w:spacing w:line="360" w:lineRule="auto"/>
              <w:jc w:val="both"/>
              <w:rPr>
                <w:sz w:val="22"/>
                <w:szCs w:val="22"/>
                <w:lang w:val="it-IT"/>
              </w:rPr>
            </w:pPr>
            <w:r w:rsidRPr="0021410D">
              <w:rPr>
                <w:b/>
                <w:sz w:val="22"/>
                <w:szCs w:val="22"/>
                <w:lang w:val="it-IT"/>
              </w:rPr>
              <w:t>Temperatura colore (°K):</w:t>
            </w:r>
            <w:r w:rsidRPr="00312AC9">
              <w:rPr>
                <w:sz w:val="22"/>
                <w:szCs w:val="22"/>
                <w:lang w:val="it-IT"/>
              </w:rPr>
              <w:t xml:space="preserve"> indicare il colore delle sorgenti luminose</w:t>
            </w:r>
            <w:r w:rsidR="009A39BB">
              <w:rPr>
                <w:sz w:val="22"/>
                <w:szCs w:val="22"/>
                <w:lang w:val="it-IT"/>
              </w:rPr>
              <w:t>;</w:t>
            </w:r>
          </w:p>
        </w:tc>
      </w:tr>
      <w:tr w:rsidR="00F036BF" w:rsidRPr="00586CB6" w14:paraId="705E34FA" w14:textId="77777777" w:rsidTr="00C53C43">
        <w:trPr>
          <w:trHeight w:val="340"/>
        </w:trPr>
        <w:tc>
          <w:tcPr>
            <w:tcW w:w="9497" w:type="dxa"/>
            <w:shd w:val="clear" w:color="000000" w:fill="FFFFFF"/>
            <w:vAlign w:val="center"/>
            <w:hideMark/>
          </w:tcPr>
          <w:p w14:paraId="3308B6EB" w14:textId="77777777" w:rsidR="00F036BF" w:rsidRPr="00312AC9" w:rsidRDefault="00F036BF" w:rsidP="005E16AF">
            <w:pPr>
              <w:spacing w:line="360" w:lineRule="auto"/>
              <w:jc w:val="both"/>
              <w:rPr>
                <w:sz w:val="22"/>
                <w:szCs w:val="22"/>
                <w:lang w:val="it-IT"/>
              </w:rPr>
            </w:pPr>
            <w:r w:rsidRPr="0021410D">
              <w:rPr>
                <w:b/>
                <w:sz w:val="22"/>
                <w:szCs w:val="22"/>
                <w:lang w:val="it-IT"/>
              </w:rPr>
              <w:t>Angolo di emissione (°):</w:t>
            </w:r>
            <w:r w:rsidRPr="00312AC9">
              <w:rPr>
                <w:sz w:val="22"/>
                <w:szCs w:val="22"/>
                <w:lang w:val="it-IT"/>
              </w:rPr>
              <w:t xml:space="preserve"> indicare l’angolo di emissione;</w:t>
            </w:r>
          </w:p>
        </w:tc>
      </w:tr>
      <w:tr w:rsidR="00F036BF" w:rsidRPr="00F036BF" w14:paraId="0B1A55EF" w14:textId="77777777" w:rsidTr="00C53C43">
        <w:trPr>
          <w:trHeight w:val="567"/>
        </w:trPr>
        <w:tc>
          <w:tcPr>
            <w:tcW w:w="9497" w:type="dxa"/>
            <w:shd w:val="clear" w:color="000000" w:fill="FFFFFF"/>
            <w:vAlign w:val="center"/>
            <w:hideMark/>
          </w:tcPr>
          <w:p w14:paraId="69235254" w14:textId="31654D62" w:rsidR="00F036BF" w:rsidRPr="00F036BF" w:rsidRDefault="00F036BF" w:rsidP="005E16AF">
            <w:pPr>
              <w:spacing w:line="360" w:lineRule="auto"/>
              <w:jc w:val="both"/>
              <w:rPr>
                <w:sz w:val="22"/>
                <w:szCs w:val="22"/>
                <w:lang w:val="it-IT"/>
              </w:rPr>
            </w:pPr>
            <w:r w:rsidRPr="0021410D">
              <w:rPr>
                <w:b/>
                <w:sz w:val="22"/>
                <w:szCs w:val="22"/>
                <w:lang w:val="it-IT"/>
              </w:rPr>
              <w:t>CRI/</w:t>
            </w:r>
            <w:proofErr w:type="spellStart"/>
            <w:r w:rsidRPr="0021410D">
              <w:rPr>
                <w:b/>
                <w:sz w:val="22"/>
                <w:szCs w:val="22"/>
                <w:lang w:val="it-IT"/>
              </w:rPr>
              <w:t>Ra</w:t>
            </w:r>
            <w:proofErr w:type="spellEnd"/>
            <w:r w:rsidRPr="0021410D">
              <w:rPr>
                <w:b/>
                <w:sz w:val="22"/>
                <w:szCs w:val="22"/>
                <w:lang w:val="it-IT"/>
              </w:rPr>
              <w:t>:</w:t>
            </w:r>
            <w:r w:rsidRPr="00312AC9">
              <w:rPr>
                <w:sz w:val="22"/>
                <w:szCs w:val="22"/>
                <w:lang w:val="it-IT"/>
              </w:rPr>
              <w:t xml:space="preserve"> indicare il (</w:t>
            </w:r>
            <w:proofErr w:type="spellStart"/>
            <w:r w:rsidRPr="00312AC9">
              <w:rPr>
                <w:sz w:val="22"/>
                <w:szCs w:val="22"/>
                <w:lang w:val="it-IT"/>
              </w:rPr>
              <w:t>Colour</w:t>
            </w:r>
            <w:proofErr w:type="spellEnd"/>
            <w:r w:rsidRPr="00312AC9">
              <w:rPr>
                <w:sz w:val="22"/>
                <w:szCs w:val="22"/>
                <w:lang w:val="it-IT"/>
              </w:rPr>
              <w:t xml:space="preserve"> </w:t>
            </w:r>
            <w:proofErr w:type="spellStart"/>
            <w:r w:rsidRPr="00312AC9">
              <w:rPr>
                <w:sz w:val="22"/>
                <w:szCs w:val="22"/>
                <w:lang w:val="it-IT"/>
              </w:rPr>
              <w:t>Rendering</w:t>
            </w:r>
            <w:proofErr w:type="spellEnd"/>
            <w:r w:rsidRPr="00312AC9">
              <w:rPr>
                <w:sz w:val="22"/>
                <w:szCs w:val="22"/>
                <w:lang w:val="it-IT"/>
              </w:rPr>
              <w:t xml:space="preserve"> Index) relativo alla temperatura di colore indicata. </w:t>
            </w:r>
            <w:r w:rsidRPr="00F036BF">
              <w:rPr>
                <w:sz w:val="22"/>
                <w:szCs w:val="22"/>
                <w:lang w:val="it-IT"/>
              </w:rPr>
              <w:t>Tale valore non può essere inferiore ad 80</w:t>
            </w:r>
            <w:r w:rsidR="009A39BB">
              <w:rPr>
                <w:sz w:val="22"/>
                <w:szCs w:val="22"/>
                <w:lang w:val="it-IT"/>
              </w:rPr>
              <w:t>;</w:t>
            </w:r>
          </w:p>
        </w:tc>
      </w:tr>
      <w:tr w:rsidR="00F036BF" w:rsidRPr="00586CB6" w14:paraId="409EC516" w14:textId="77777777" w:rsidTr="00C53C43">
        <w:trPr>
          <w:trHeight w:val="567"/>
        </w:trPr>
        <w:tc>
          <w:tcPr>
            <w:tcW w:w="9497" w:type="dxa"/>
            <w:shd w:val="clear" w:color="000000" w:fill="FFFFFF"/>
            <w:vAlign w:val="center"/>
            <w:hideMark/>
          </w:tcPr>
          <w:p w14:paraId="0C5F5724" w14:textId="1BC487B9" w:rsidR="00F036BF" w:rsidRPr="00312AC9" w:rsidRDefault="00F036BF" w:rsidP="005E16AF">
            <w:pPr>
              <w:spacing w:line="360" w:lineRule="auto"/>
              <w:jc w:val="both"/>
              <w:rPr>
                <w:sz w:val="22"/>
                <w:szCs w:val="22"/>
                <w:lang w:val="it-IT"/>
              </w:rPr>
            </w:pPr>
            <w:r w:rsidRPr="0021410D">
              <w:rPr>
                <w:b/>
                <w:sz w:val="22"/>
                <w:szCs w:val="22"/>
                <w:lang w:val="it-IT"/>
              </w:rPr>
              <w:t>Grado IP:</w:t>
            </w:r>
            <w:r w:rsidRPr="00312AC9">
              <w:rPr>
                <w:sz w:val="22"/>
                <w:szCs w:val="22"/>
                <w:lang w:val="it-IT"/>
              </w:rPr>
              <w:t xml:space="preserve"> indicare il grado di protezione degli involucri; il valore deve essere &gt;= 55 per Archivi - Mensa; - Parcheggio interno - Palestre; &gt;= 65 per esterni</w:t>
            </w:r>
            <w:r w:rsidR="005F7B05">
              <w:rPr>
                <w:sz w:val="22"/>
                <w:szCs w:val="22"/>
                <w:lang w:val="it-IT"/>
              </w:rPr>
              <w:t>;</w:t>
            </w:r>
          </w:p>
        </w:tc>
      </w:tr>
      <w:tr w:rsidR="00F036BF" w:rsidRPr="00586CB6" w14:paraId="464E27C8" w14:textId="77777777" w:rsidTr="00C53C43">
        <w:trPr>
          <w:trHeight w:val="567"/>
        </w:trPr>
        <w:tc>
          <w:tcPr>
            <w:tcW w:w="9497" w:type="dxa"/>
            <w:shd w:val="clear" w:color="000000" w:fill="FFFFFF"/>
            <w:vAlign w:val="center"/>
            <w:hideMark/>
          </w:tcPr>
          <w:p w14:paraId="25FBC1FF" w14:textId="77777777" w:rsidR="00F036BF" w:rsidRPr="00312AC9" w:rsidRDefault="00F036BF" w:rsidP="005E16AF">
            <w:pPr>
              <w:spacing w:line="360" w:lineRule="auto"/>
              <w:jc w:val="both"/>
              <w:rPr>
                <w:sz w:val="22"/>
                <w:szCs w:val="22"/>
                <w:lang w:val="it-IT"/>
              </w:rPr>
            </w:pPr>
            <w:r w:rsidRPr="0021410D">
              <w:rPr>
                <w:b/>
                <w:sz w:val="22"/>
                <w:szCs w:val="22"/>
                <w:lang w:val="it-IT"/>
              </w:rPr>
              <w:t>Alimentazione (V):</w:t>
            </w:r>
            <w:r w:rsidRPr="00312AC9">
              <w:rPr>
                <w:sz w:val="22"/>
                <w:szCs w:val="22"/>
                <w:lang w:val="it-IT"/>
              </w:rPr>
              <w:t xml:space="preserve"> indicare il valore della tensione elettrica da fornire al corpo a LED per il suo corretto funzionamento;</w:t>
            </w:r>
          </w:p>
        </w:tc>
      </w:tr>
      <w:tr w:rsidR="00F036BF" w:rsidRPr="00586CB6" w14:paraId="53E7E3F9" w14:textId="77777777" w:rsidTr="00C53C43">
        <w:trPr>
          <w:trHeight w:val="340"/>
        </w:trPr>
        <w:tc>
          <w:tcPr>
            <w:tcW w:w="9497" w:type="dxa"/>
            <w:shd w:val="clear" w:color="000000" w:fill="FFFFFF"/>
            <w:vAlign w:val="center"/>
            <w:hideMark/>
          </w:tcPr>
          <w:p w14:paraId="3F58FCD2" w14:textId="77777777" w:rsidR="00F036BF" w:rsidRPr="00312AC9" w:rsidRDefault="00F036BF" w:rsidP="005E16AF">
            <w:pPr>
              <w:spacing w:line="360" w:lineRule="auto"/>
              <w:jc w:val="both"/>
              <w:rPr>
                <w:sz w:val="22"/>
                <w:szCs w:val="22"/>
                <w:lang w:val="it-IT"/>
              </w:rPr>
            </w:pPr>
            <w:r w:rsidRPr="000C6AE4">
              <w:rPr>
                <w:b/>
                <w:sz w:val="22"/>
                <w:szCs w:val="22"/>
                <w:lang w:val="it-IT"/>
              </w:rPr>
              <w:t>Dimensioni</w:t>
            </w:r>
            <w:r w:rsidRPr="00312AC9">
              <w:rPr>
                <w:sz w:val="22"/>
                <w:szCs w:val="22"/>
                <w:lang w:val="it-IT"/>
              </w:rPr>
              <w:t>: indicare le dimensioni del corpo a LED;</w:t>
            </w:r>
          </w:p>
        </w:tc>
      </w:tr>
      <w:tr w:rsidR="00F036BF" w:rsidRPr="00047B57" w14:paraId="33DB11F3" w14:textId="77777777" w:rsidTr="00C53C43">
        <w:trPr>
          <w:trHeight w:val="510"/>
        </w:trPr>
        <w:tc>
          <w:tcPr>
            <w:tcW w:w="9497" w:type="dxa"/>
            <w:shd w:val="clear" w:color="000000" w:fill="FFFFFF"/>
            <w:vAlign w:val="center"/>
            <w:hideMark/>
          </w:tcPr>
          <w:p w14:paraId="5EF39541" w14:textId="16567D59" w:rsidR="00F036BF" w:rsidRPr="00F036BF" w:rsidRDefault="00F036BF" w:rsidP="005E16AF">
            <w:pPr>
              <w:spacing w:line="360" w:lineRule="auto"/>
              <w:jc w:val="both"/>
              <w:rPr>
                <w:lang w:val="it-IT"/>
              </w:rPr>
            </w:pPr>
            <w:r w:rsidRPr="006D5789">
              <w:rPr>
                <w:b/>
                <w:sz w:val="22"/>
                <w:szCs w:val="22"/>
                <w:lang w:val="it-IT"/>
              </w:rPr>
              <w:t>Certificazioni di processo:</w:t>
            </w:r>
            <w:r w:rsidRPr="006D5789">
              <w:rPr>
                <w:sz w:val="22"/>
                <w:szCs w:val="22"/>
                <w:lang w:val="it-IT"/>
              </w:rPr>
              <w:t xml:space="preserve"> </w:t>
            </w:r>
            <w:r w:rsidRPr="006D5789">
              <w:rPr>
                <w:lang w:val="it-IT"/>
              </w:rPr>
              <w:t>indicare</w:t>
            </w:r>
            <w:r w:rsidRPr="000C6AE4">
              <w:rPr>
                <w:lang w:val="it-IT"/>
              </w:rPr>
              <w:t xml:space="preserve"> le certificazioni ottenute da enti accreditati secondo quanto previsto dal Regolamento (CE) 765/2008 del 9 luglio 2008 che pone norme in materia di accreditamento, che attestano sia la conformità del fornitore a specifiche norme di riferimento in materia di gestione della qualità, gestione ambientale, gestione della salute e sicurezza, gestione dell’energia e relativi servizi, sia del tecnico abilitato a specifiche norme volontarie di riferimento in materia di gestione dell’energia</w:t>
            </w:r>
            <w:r w:rsidR="009A39BB">
              <w:rPr>
                <w:lang w:val="it-IT"/>
              </w:rPr>
              <w:t>;</w:t>
            </w:r>
          </w:p>
          <w:p w14:paraId="5CA1A46C" w14:textId="0F138385" w:rsidR="00F036BF" w:rsidRPr="0021410D" w:rsidRDefault="00F036BF" w:rsidP="005E16AF">
            <w:pPr>
              <w:spacing w:line="360" w:lineRule="auto"/>
              <w:jc w:val="both"/>
              <w:rPr>
                <w:b/>
                <w:bCs/>
                <w:lang w:val="it-IT"/>
              </w:rPr>
            </w:pPr>
            <w:r w:rsidRPr="001B614F">
              <w:rPr>
                <w:b/>
                <w:sz w:val="22"/>
                <w:szCs w:val="22"/>
                <w:lang w:val="it-IT"/>
              </w:rPr>
              <w:t>Eco-Etichette di prodotto:</w:t>
            </w:r>
            <w:r w:rsidRPr="001B614F">
              <w:rPr>
                <w:sz w:val="22"/>
                <w:szCs w:val="22"/>
                <w:lang w:val="it-IT"/>
              </w:rPr>
              <w:t xml:space="preserve"> </w:t>
            </w:r>
            <w:r w:rsidRPr="005E16AF">
              <w:rPr>
                <w:sz w:val="22"/>
                <w:szCs w:val="22"/>
                <w:lang w:val="it-IT"/>
              </w:rPr>
              <w:t>possono essere riportate eco-etichettature quali quelle indicate nel Catalogo di cui sopra, qualora applicabili. In tal caso il Fornitore dettaglierà il/i bene/i che possiede/</w:t>
            </w:r>
            <w:proofErr w:type="spellStart"/>
            <w:r w:rsidRPr="005E16AF">
              <w:rPr>
                <w:sz w:val="22"/>
                <w:szCs w:val="22"/>
                <w:lang w:val="it-IT"/>
              </w:rPr>
              <w:t>ono</w:t>
            </w:r>
            <w:proofErr w:type="spellEnd"/>
            <w:r w:rsidRPr="005E16AF">
              <w:rPr>
                <w:sz w:val="22"/>
                <w:szCs w:val="22"/>
                <w:lang w:val="it-IT"/>
              </w:rPr>
              <w:t xml:space="preserve"> tali certificazioni tra gli Attributi di Base nel campo Descrizione</w:t>
            </w:r>
            <w:r w:rsidR="009A39BB" w:rsidRPr="005E16AF">
              <w:rPr>
                <w:sz w:val="22"/>
                <w:szCs w:val="22"/>
                <w:lang w:val="it-IT"/>
              </w:rPr>
              <w:t>;</w:t>
            </w:r>
          </w:p>
          <w:p w14:paraId="402DB08E" w14:textId="0BA65870" w:rsidR="00F036BF" w:rsidRPr="00312AC9" w:rsidRDefault="00F036BF" w:rsidP="005E16AF">
            <w:pPr>
              <w:spacing w:line="360" w:lineRule="auto"/>
              <w:jc w:val="both"/>
              <w:rPr>
                <w:sz w:val="22"/>
                <w:szCs w:val="22"/>
                <w:lang w:val="it-IT"/>
              </w:rPr>
            </w:pPr>
            <w:r w:rsidRPr="001B614F">
              <w:rPr>
                <w:b/>
                <w:sz w:val="22"/>
                <w:szCs w:val="22"/>
                <w:lang w:val="it-IT"/>
              </w:rPr>
              <w:t>Etichettatura energetica</w:t>
            </w:r>
            <w:r w:rsidRPr="001B614F">
              <w:rPr>
                <w:sz w:val="22"/>
                <w:szCs w:val="22"/>
                <w:lang w:val="it-IT"/>
              </w:rPr>
              <w:t xml:space="preserve">: </w:t>
            </w:r>
            <w:r w:rsidR="009A39BB">
              <w:rPr>
                <w:sz w:val="22"/>
                <w:szCs w:val="22"/>
                <w:lang w:val="it-IT"/>
              </w:rPr>
              <w:t>in</w:t>
            </w:r>
            <w:r w:rsidRPr="001B614F">
              <w:rPr>
                <w:sz w:val="22"/>
                <w:szCs w:val="22"/>
                <w:lang w:val="it-IT"/>
              </w:rPr>
              <w:t>dicare la classe energetica (es.</w:t>
            </w:r>
            <w:r w:rsidR="00720A73">
              <w:rPr>
                <w:sz w:val="22"/>
                <w:szCs w:val="22"/>
                <w:lang w:val="it-IT"/>
              </w:rPr>
              <w:t xml:space="preserve"> </w:t>
            </w:r>
            <w:r w:rsidRPr="001B614F">
              <w:rPr>
                <w:sz w:val="22"/>
                <w:szCs w:val="22"/>
                <w:lang w:val="it-IT"/>
              </w:rPr>
              <w:t>C, B, A, A+)</w:t>
            </w:r>
            <w:r w:rsidR="005F7B05">
              <w:rPr>
                <w:sz w:val="22"/>
                <w:szCs w:val="22"/>
                <w:lang w:val="it-IT"/>
              </w:rPr>
              <w:t>.</w:t>
            </w:r>
          </w:p>
        </w:tc>
      </w:tr>
    </w:tbl>
    <w:p w14:paraId="054CCE4E" w14:textId="77777777" w:rsidR="00F036BF" w:rsidRPr="00305223" w:rsidRDefault="00F036BF" w:rsidP="0059620E">
      <w:pPr>
        <w:spacing w:after="200" w:line="360" w:lineRule="auto"/>
        <w:jc w:val="both"/>
        <w:outlineLvl w:val="0"/>
        <w:rPr>
          <w:rFonts w:eastAsia="Arial Unicode MS"/>
          <w:b/>
          <w:smallCaps/>
          <w:color w:val="000000"/>
          <w:sz w:val="22"/>
          <w:u w:color="000000"/>
          <w:lang w:val="it-IT"/>
        </w:rPr>
      </w:pPr>
    </w:p>
    <w:sectPr w:rsidR="00F036BF" w:rsidRPr="00305223" w:rsidSect="004712E5">
      <w:headerReference w:type="default" r:id="rId9"/>
      <w:footerReference w:type="default" r:id="rId10"/>
      <w:pgSz w:w="11900" w:h="16840"/>
      <w:pgMar w:top="1418" w:right="1134" w:bottom="1134"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9F886" w14:textId="77777777" w:rsidR="00E4432C" w:rsidRDefault="00E4432C">
      <w:r>
        <w:separator/>
      </w:r>
    </w:p>
  </w:endnote>
  <w:endnote w:type="continuationSeparator" w:id="0">
    <w:p w14:paraId="4EA0D113" w14:textId="77777777" w:rsidR="00E4432C" w:rsidRDefault="00E4432C">
      <w:r>
        <w:continuationSeparator/>
      </w:r>
    </w:p>
  </w:endnote>
  <w:endnote w:type="continuationNotice" w:id="1">
    <w:p w14:paraId="2C1EB393" w14:textId="77777777" w:rsidR="00E4432C" w:rsidRDefault="00E443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22DE2" w14:textId="1FEDDE4F" w:rsidR="0091427C" w:rsidRDefault="0091427C" w:rsidP="006E1258">
    <w:pPr>
      <w:pStyle w:val="Pidipagina"/>
      <w:jc w:val="right"/>
    </w:pPr>
    <w:r>
      <w:fldChar w:fldCharType="begin"/>
    </w:r>
    <w:r>
      <w:instrText>PAGE   \* MERGEFORMAT</w:instrText>
    </w:r>
    <w:r>
      <w:fldChar w:fldCharType="separate"/>
    </w:r>
    <w:r w:rsidR="00C53C43" w:rsidRPr="00C53C43">
      <w:rPr>
        <w:noProof/>
        <w:lang w:val="it-IT"/>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0953E" w14:textId="77777777" w:rsidR="00E4432C" w:rsidRDefault="00E4432C">
      <w:r>
        <w:separator/>
      </w:r>
    </w:p>
  </w:footnote>
  <w:footnote w:type="continuationSeparator" w:id="0">
    <w:p w14:paraId="4C586387" w14:textId="77777777" w:rsidR="00E4432C" w:rsidRDefault="00E4432C">
      <w:r>
        <w:continuationSeparator/>
      </w:r>
    </w:p>
  </w:footnote>
  <w:footnote w:type="continuationNotice" w:id="1">
    <w:p w14:paraId="6F9EE3A6" w14:textId="77777777" w:rsidR="00E4432C" w:rsidRDefault="00E4432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9845A" w14:textId="1C79CE37" w:rsidR="00236E89" w:rsidRPr="00CA6844" w:rsidRDefault="00236E89" w:rsidP="00BB1CF3">
    <w:pPr>
      <w:tabs>
        <w:tab w:val="left" w:pos="0"/>
        <w:tab w:val="center" w:pos="4816"/>
        <w:tab w:val="center" w:pos="4819"/>
        <w:tab w:val="center" w:pos="4819"/>
        <w:tab w:val="right" w:pos="9612"/>
        <w:tab w:val="right" w:pos="9632"/>
        <w:tab w:val="right" w:pos="9638"/>
      </w:tabs>
      <w:jc w:val="right"/>
      <w:outlineLvl w:val="0"/>
      <w:rPr>
        <w:rFonts w:eastAsia="Arial Unicode MS"/>
        <w:b/>
        <w:i/>
        <w:color w:val="000000"/>
        <w:sz w:val="22"/>
        <w:u w:val="single" w:color="000000"/>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pStyle w:val="Numbered"/>
      <w:lvlText w:val="%1."/>
      <w:lvlJc w:val="left"/>
      <w:pPr>
        <w:tabs>
          <w:tab w:val="num" w:pos="360"/>
        </w:tabs>
        <w:ind w:left="360" w:firstLine="0"/>
      </w:pPr>
      <w:rPr>
        <w:rFonts w:hint="default"/>
        <w:b w:val="0"/>
        <w:position w:val="0"/>
      </w:rPr>
    </w:lvl>
    <w:lvl w:ilvl="1">
      <w:start w:val="1"/>
      <w:numFmt w:val="decimal"/>
      <w:lvlText w:val="%2."/>
      <w:lvlJc w:val="left"/>
      <w:pPr>
        <w:tabs>
          <w:tab w:val="num" w:pos="360"/>
        </w:tabs>
        <w:ind w:left="360" w:firstLine="360"/>
      </w:pPr>
      <w:rPr>
        <w:rFonts w:hint="default"/>
        <w:position w:val="0"/>
      </w:rPr>
    </w:lvl>
    <w:lvl w:ilvl="2">
      <w:start w:val="1"/>
      <w:numFmt w:val="decimal"/>
      <w:lvlText w:val="%3."/>
      <w:lvlJc w:val="left"/>
      <w:pPr>
        <w:tabs>
          <w:tab w:val="num" w:pos="360"/>
        </w:tabs>
        <w:ind w:left="360" w:firstLine="720"/>
      </w:pPr>
      <w:rPr>
        <w:rFonts w:hint="default"/>
        <w:position w:val="0"/>
      </w:rPr>
    </w:lvl>
    <w:lvl w:ilvl="3">
      <w:start w:val="1"/>
      <w:numFmt w:val="decimal"/>
      <w:lvlText w:val="%4."/>
      <w:lvlJc w:val="left"/>
      <w:pPr>
        <w:tabs>
          <w:tab w:val="num" w:pos="360"/>
        </w:tabs>
        <w:ind w:left="360" w:firstLine="1080"/>
      </w:pPr>
      <w:rPr>
        <w:rFonts w:hint="default"/>
        <w:position w:val="0"/>
      </w:rPr>
    </w:lvl>
    <w:lvl w:ilvl="4">
      <w:start w:val="1"/>
      <w:numFmt w:val="decimal"/>
      <w:lvlText w:val="%5."/>
      <w:lvlJc w:val="left"/>
      <w:pPr>
        <w:tabs>
          <w:tab w:val="num" w:pos="360"/>
        </w:tabs>
        <w:ind w:left="360" w:firstLine="1440"/>
      </w:pPr>
      <w:rPr>
        <w:rFonts w:hint="default"/>
        <w:position w:val="0"/>
      </w:rPr>
    </w:lvl>
    <w:lvl w:ilvl="5">
      <w:start w:val="1"/>
      <w:numFmt w:val="decimal"/>
      <w:lvlText w:val="%6."/>
      <w:lvlJc w:val="left"/>
      <w:pPr>
        <w:tabs>
          <w:tab w:val="num" w:pos="360"/>
        </w:tabs>
        <w:ind w:left="360" w:firstLine="1800"/>
      </w:pPr>
      <w:rPr>
        <w:rFonts w:hint="default"/>
        <w:position w:val="0"/>
      </w:rPr>
    </w:lvl>
    <w:lvl w:ilvl="6">
      <w:start w:val="1"/>
      <w:numFmt w:val="decimal"/>
      <w:lvlText w:val="%7."/>
      <w:lvlJc w:val="left"/>
      <w:pPr>
        <w:tabs>
          <w:tab w:val="num" w:pos="360"/>
        </w:tabs>
        <w:ind w:left="360" w:firstLine="2160"/>
      </w:pPr>
      <w:rPr>
        <w:rFonts w:hint="default"/>
        <w:position w:val="0"/>
      </w:rPr>
    </w:lvl>
    <w:lvl w:ilvl="7">
      <w:start w:val="1"/>
      <w:numFmt w:val="decimal"/>
      <w:lvlText w:val="%8."/>
      <w:lvlJc w:val="left"/>
      <w:pPr>
        <w:tabs>
          <w:tab w:val="num" w:pos="360"/>
        </w:tabs>
        <w:ind w:left="360" w:firstLine="2520"/>
      </w:pPr>
      <w:rPr>
        <w:rFonts w:hint="default"/>
        <w:position w:val="0"/>
      </w:rPr>
    </w:lvl>
    <w:lvl w:ilvl="8">
      <w:start w:val="1"/>
      <w:numFmt w:val="decimal"/>
      <w:lvlText w:val="%9."/>
      <w:lvlJc w:val="left"/>
      <w:pPr>
        <w:tabs>
          <w:tab w:val="num" w:pos="360"/>
        </w:tabs>
        <w:ind w:left="360" w:firstLine="2880"/>
      </w:pPr>
      <w:rPr>
        <w:rFonts w:hint="default"/>
        <w:position w:val="0"/>
      </w:rPr>
    </w:lvl>
  </w:abstractNum>
  <w:abstractNum w:abstractNumId="1">
    <w:nsid w:val="00000002"/>
    <w:multiLevelType w:val="multilevel"/>
    <w:tmpl w:val="9418FD9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9C416A"/>
    <w:multiLevelType w:val="hybridMultilevel"/>
    <w:tmpl w:val="A1B89A1A"/>
    <w:lvl w:ilvl="0" w:tplc="41CA7004">
      <w:start w:val="1"/>
      <w:numFmt w:val="decimal"/>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13281B6D"/>
    <w:multiLevelType w:val="hybridMultilevel"/>
    <w:tmpl w:val="D6B0D8E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C7D195B"/>
    <w:multiLevelType w:val="hybridMultilevel"/>
    <w:tmpl w:val="E03C1A1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40553FE"/>
    <w:multiLevelType w:val="hybridMultilevel"/>
    <w:tmpl w:val="14EE439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702492A"/>
    <w:multiLevelType w:val="hybridMultilevel"/>
    <w:tmpl w:val="8698ED5E"/>
    <w:lvl w:ilvl="0" w:tplc="2EDC0B2A">
      <w:numFmt w:val="bullet"/>
      <w:lvlText w:val="-"/>
      <w:lvlJc w:val="left"/>
      <w:pPr>
        <w:ind w:left="717" w:hanging="360"/>
      </w:pPr>
      <w:rPr>
        <w:rFonts w:ascii="Times New Roman" w:eastAsia="Times New Roman" w:hAnsi="Times New Roman" w:cs="Times New Roman" w:hint="default"/>
        <w:b/>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7">
    <w:nsid w:val="4B2E6702"/>
    <w:multiLevelType w:val="hybridMultilevel"/>
    <w:tmpl w:val="DE8663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2EB1682"/>
    <w:multiLevelType w:val="hybridMultilevel"/>
    <w:tmpl w:val="74D2341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6AFD2F8A"/>
    <w:multiLevelType w:val="hybridMultilevel"/>
    <w:tmpl w:val="96022EB2"/>
    <w:lvl w:ilvl="0" w:tplc="9B72ECE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6C70AE7"/>
    <w:multiLevelType w:val="hybridMultilevel"/>
    <w:tmpl w:val="FDA422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8"/>
  </w:num>
  <w:num w:numId="6">
    <w:abstractNumId w:val="10"/>
  </w:num>
  <w:num w:numId="7">
    <w:abstractNumId w:val="5"/>
  </w:num>
  <w:num w:numId="8">
    <w:abstractNumId w:val="9"/>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NotTrackMoves/>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mso-wrap-style:none">
      <v:stroke weight="0" endcap="round"/>
      <v:textbox style="mso-column-count:0;mso-column-margin:0" inset="0,0,0,0"/>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0E6C"/>
    <w:rsid w:val="00006245"/>
    <w:rsid w:val="00016263"/>
    <w:rsid w:val="000314DA"/>
    <w:rsid w:val="0003257C"/>
    <w:rsid w:val="00041696"/>
    <w:rsid w:val="00041CF4"/>
    <w:rsid w:val="00047B57"/>
    <w:rsid w:val="00057EDA"/>
    <w:rsid w:val="00070547"/>
    <w:rsid w:val="000954B0"/>
    <w:rsid w:val="000A795E"/>
    <w:rsid w:val="000B2B94"/>
    <w:rsid w:val="000B4128"/>
    <w:rsid w:val="000B440B"/>
    <w:rsid w:val="000C24D3"/>
    <w:rsid w:val="000C4285"/>
    <w:rsid w:val="000C79C9"/>
    <w:rsid w:val="000C7CA4"/>
    <w:rsid w:val="000D0746"/>
    <w:rsid w:val="000D082F"/>
    <w:rsid w:val="000D78FD"/>
    <w:rsid w:val="000E5E47"/>
    <w:rsid w:val="000F6745"/>
    <w:rsid w:val="0011539B"/>
    <w:rsid w:val="00121AB9"/>
    <w:rsid w:val="00133229"/>
    <w:rsid w:val="00137AA7"/>
    <w:rsid w:val="00176C5E"/>
    <w:rsid w:val="00196B86"/>
    <w:rsid w:val="001A21A2"/>
    <w:rsid w:val="001C04CF"/>
    <w:rsid w:val="001C1B58"/>
    <w:rsid w:val="001C3C83"/>
    <w:rsid w:val="001D047A"/>
    <w:rsid w:val="00202026"/>
    <w:rsid w:val="00207053"/>
    <w:rsid w:val="0021410D"/>
    <w:rsid w:val="0022189F"/>
    <w:rsid w:val="0022519B"/>
    <w:rsid w:val="00226152"/>
    <w:rsid w:val="00236E89"/>
    <w:rsid w:val="00270515"/>
    <w:rsid w:val="002854F2"/>
    <w:rsid w:val="002D5ED2"/>
    <w:rsid w:val="002E1569"/>
    <w:rsid w:val="002E3C5C"/>
    <w:rsid w:val="002F2598"/>
    <w:rsid w:val="00305223"/>
    <w:rsid w:val="00311B82"/>
    <w:rsid w:val="00312AC9"/>
    <w:rsid w:val="003161E2"/>
    <w:rsid w:val="00342D1E"/>
    <w:rsid w:val="00343F4B"/>
    <w:rsid w:val="00356A78"/>
    <w:rsid w:val="003642CF"/>
    <w:rsid w:val="0036567F"/>
    <w:rsid w:val="00367536"/>
    <w:rsid w:val="00384DCF"/>
    <w:rsid w:val="00386E04"/>
    <w:rsid w:val="003B3AED"/>
    <w:rsid w:val="003C0AE5"/>
    <w:rsid w:val="003C3669"/>
    <w:rsid w:val="003C466B"/>
    <w:rsid w:val="003D2378"/>
    <w:rsid w:val="003E0F55"/>
    <w:rsid w:val="00412700"/>
    <w:rsid w:val="00425EF3"/>
    <w:rsid w:val="004459E7"/>
    <w:rsid w:val="0044614D"/>
    <w:rsid w:val="004651DF"/>
    <w:rsid w:val="004712E5"/>
    <w:rsid w:val="0049019F"/>
    <w:rsid w:val="004976BF"/>
    <w:rsid w:val="004A1B4D"/>
    <w:rsid w:val="004A1B59"/>
    <w:rsid w:val="004A3780"/>
    <w:rsid w:val="004A55F8"/>
    <w:rsid w:val="004C2868"/>
    <w:rsid w:val="004D557D"/>
    <w:rsid w:val="004E060D"/>
    <w:rsid w:val="004F083A"/>
    <w:rsid w:val="00511BB6"/>
    <w:rsid w:val="0052409D"/>
    <w:rsid w:val="00530BEF"/>
    <w:rsid w:val="00532AEB"/>
    <w:rsid w:val="00551D46"/>
    <w:rsid w:val="005552D3"/>
    <w:rsid w:val="00586CB6"/>
    <w:rsid w:val="0059620E"/>
    <w:rsid w:val="005A24D1"/>
    <w:rsid w:val="005A529C"/>
    <w:rsid w:val="005B017A"/>
    <w:rsid w:val="005B6B69"/>
    <w:rsid w:val="005E16AF"/>
    <w:rsid w:val="005E20BD"/>
    <w:rsid w:val="005F7B05"/>
    <w:rsid w:val="006063FA"/>
    <w:rsid w:val="0061077B"/>
    <w:rsid w:val="00655C36"/>
    <w:rsid w:val="00686A1D"/>
    <w:rsid w:val="006B19FE"/>
    <w:rsid w:val="006C4AAA"/>
    <w:rsid w:val="006C521D"/>
    <w:rsid w:val="006D2EDC"/>
    <w:rsid w:val="006E099F"/>
    <w:rsid w:val="006E1258"/>
    <w:rsid w:val="006E1DC6"/>
    <w:rsid w:val="00720A73"/>
    <w:rsid w:val="007454E0"/>
    <w:rsid w:val="007507FB"/>
    <w:rsid w:val="00750E89"/>
    <w:rsid w:val="00767A05"/>
    <w:rsid w:val="007B3D42"/>
    <w:rsid w:val="007D13B4"/>
    <w:rsid w:val="007D4BC9"/>
    <w:rsid w:val="007E3B14"/>
    <w:rsid w:val="007E571A"/>
    <w:rsid w:val="007F0106"/>
    <w:rsid w:val="0080297A"/>
    <w:rsid w:val="00811A09"/>
    <w:rsid w:val="00825996"/>
    <w:rsid w:val="00834DEB"/>
    <w:rsid w:val="00840980"/>
    <w:rsid w:val="00845C4B"/>
    <w:rsid w:val="00852D07"/>
    <w:rsid w:val="008655D1"/>
    <w:rsid w:val="00865B4D"/>
    <w:rsid w:val="00870A9F"/>
    <w:rsid w:val="0088667A"/>
    <w:rsid w:val="0089034B"/>
    <w:rsid w:val="008A7B02"/>
    <w:rsid w:val="008B4875"/>
    <w:rsid w:val="008C7447"/>
    <w:rsid w:val="008D39D6"/>
    <w:rsid w:val="008E1928"/>
    <w:rsid w:val="008E364E"/>
    <w:rsid w:val="008E3B4D"/>
    <w:rsid w:val="008E7F30"/>
    <w:rsid w:val="008F15AE"/>
    <w:rsid w:val="00900C0B"/>
    <w:rsid w:val="0091194F"/>
    <w:rsid w:val="0091427C"/>
    <w:rsid w:val="00916100"/>
    <w:rsid w:val="0093372C"/>
    <w:rsid w:val="00956122"/>
    <w:rsid w:val="00975A85"/>
    <w:rsid w:val="009829C3"/>
    <w:rsid w:val="009846F2"/>
    <w:rsid w:val="00993907"/>
    <w:rsid w:val="009A39BB"/>
    <w:rsid w:val="009A7D68"/>
    <w:rsid w:val="009D587F"/>
    <w:rsid w:val="009E0EBF"/>
    <w:rsid w:val="009E765B"/>
    <w:rsid w:val="00A901BB"/>
    <w:rsid w:val="00A929E4"/>
    <w:rsid w:val="00AB2296"/>
    <w:rsid w:val="00AC6ABA"/>
    <w:rsid w:val="00AC6B54"/>
    <w:rsid w:val="00AD2C08"/>
    <w:rsid w:val="00AD67B5"/>
    <w:rsid w:val="00AE7D60"/>
    <w:rsid w:val="00B0095A"/>
    <w:rsid w:val="00B22082"/>
    <w:rsid w:val="00B23D7C"/>
    <w:rsid w:val="00B40C1F"/>
    <w:rsid w:val="00B423DF"/>
    <w:rsid w:val="00B43399"/>
    <w:rsid w:val="00B45594"/>
    <w:rsid w:val="00B45617"/>
    <w:rsid w:val="00B659F2"/>
    <w:rsid w:val="00B70B5F"/>
    <w:rsid w:val="00B80DDD"/>
    <w:rsid w:val="00B876FA"/>
    <w:rsid w:val="00B91226"/>
    <w:rsid w:val="00B965EB"/>
    <w:rsid w:val="00BA2E3B"/>
    <w:rsid w:val="00BB1CF3"/>
    <w:rsid w:val="00BB4A5A"/>
    <w:rsid w:val="00BD17EF"/>
    <w:rsid w:val="00BE0D97"/>
    <w:rsid w:val="00BE2989"/>
    <w:rsid w:val="00BE36BB"/>
    <w:rsid w:val="00C01452"/>
    <w:rsid w:val="00C12298"/>
    <w:rsid w:val="00C53C43"/>
    <w:rsid w:val="00C5791B"/>
    <w:rsid w:val="00C81E57"/>
    <w:rsid w:val="00C84E86"/>
    <w:rsid w:val="00C91100"/>
    <w:rsid w:val="00C9599B"/>
    <w:rsid w:val="00CA2103"/>
    <w:rsid w:val="00CA4E8C"/>
    <w:rsid w:val="00CA6844"/>
    <w:rsid w:val="00CD05FB"/>
    <w:rsid w:val="00CD1AF4"/>
    <w:rsid w:val="00CE48A7"/>
    <w:rsid w:val="00CF28E7"/>
    <w:rsid w:val="00D05E04"/>
    <w:rsid w:val="00D21DBD"/>
    <w:rsid w:val="00D27685"/>
    <w:rsid w:val="00D3253E"/>
    <w:rsid w:val="00D3483C"/>
    <w:rsid w:val="00D518C4"/>
    <w:rsid w:val="00D5732A"/>
    <w:rsid w:val="00D72FBB"/>
    <w:rsid w:val="00D7518C"/>
    <w:rsid w:val="00D777B4"/>
    <w:rsid w:val="00D8271A"/>
    <w:rsid w:val="00D92180"/>
    <w:rsid w:val="00D95818"/>
    <w:rsid w:val="00DA01FA"/>
    <w:rsid w:val="00DA4CF2"/>
    <w:rsid w:val="00DC7D33"/>
    <w:rsid w:val="00DE17A9"/>
    <w:rsid w:val="00E023E8"/>
    <w:rsid w:val="00E04CAA"/>
    <w:rsid w:val="00E12B4E"/>
    <w:rsid w:val="00E13B55"/>
    <w:rsid w:val="00E1445D"/>
    <w:rsid w:val="00E2223D"/>
    <w:rsid w:val="00E4432C"/>
    <w:rsid w:val="00E53C97"/>
    <w:rsid w:val="00E53CDA"/>
    <w:rsid w:val="00E712C6"/>
    <w:rsid w:val="00E83243"/>
    <w:rsid w:val="00E91794"/>
    <w:rsid w:val="00E9315B"/>
    <w:rsid w:val="00E95012"/>
    <w:rsid w:val="00F01088"/>
    <w:rsid w:val="00F036BF"/>
    <w:rsid w:val="00F142EC"/>
    <w:rsid w:val="00F25F42"/>
    <w:rsid w:val="00F264B4"/>
    <w:rsid w:val="00F31EB0"/>
    <w:rsid w:val="00F405DC"/>
    <w:rsid w:val="00F42734"/>
    <w:rsid w:val="00F60E6C"/>
    <w:rsid w:val="00F76FFB"/>
    <w:rsid w:val="00FA6AD4"/>
    <w:rsid w:val="00FB0760"/>
    <w:rsid w:val="00FB26B1"/>
    <w:rsid w:val="00FC4DF4"/>
    <w:rsid w:val="00FE66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none">
      <v:stroke weight="0" endcap="round"/>
      <v:textbox style="mso-column-count:0;mso-column-margin:0" inset="0,0,0,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bered">
    <w:name w:val="Numbered"/>
    <w:pPr>
      <w:numPr>
        <w:numId w:val="1"/>
      </w:numPr>
    </w:pPr>
  </w:style>
  <w:style w:type="paragraph" w:styleId="Intestazione">
    <w:name w:val="header"/>
    <w:basedOn w:val="Normale"/>
    <w:link w:val="IntestazioneCarattere"/>
    <w:locked/>
    <w:rsid w:val="006B19FE"/>
    <w:pPr>
      <w:tabs>
        <w:tab w:val="center" w:pos="4819"/>
        <w:tab w:val="right" w:pos="9638"/>
      </w:tabs>
    </w:pPr>
  </w:style>
  <w:style w:type="character" w:customStyle="1" w:styleId="IntestazioneCarattere">
    <w:name w:val="Intestazione Carattere"/>
    <w:link w:val="Intestazione"/>
    <w:rsid w:val="006B19FE"/>
    <w:rPr>
      <w:sz w:val="24"/>
      <w:szCs w:val="24"/>
      <w:lang w:val="en-US" w:eastAsia="en-US"/>
    </w:rPr>
  </w:style>
  <w:style w:type="paragraph" w:styleId="Pidipagina">
    <w:name w:val="footer"/>
    <w:basedOn w:val="Normale"/>
    <w:link w:val="PidipaginaCarattere"/>
    <w:uiPriority w:val="99"/>
    <w:locked/>
    <w:rsid w:val="006B19FE"/>
    <w:pPr>
      <w:tabs>
        <w:tab w:val="center" w:pos="4819"/>
        <w:tab w:val="right" w:pos="9638"/>
      </w:tabs>
    </w:pPr>
  </w:style>
  <w:style w:type="character" w:customStyle="1" w:styleId="PidipaginaCarattere">
    <w:name w:val="Piè di pagina Carattere"/>
    <w:link w:val="Pidipagina"/>
    <w:uiPriority w:val="99"/>
    <w:rsid w:val="006B19FE"/>
    <w:rPr>
      <w:sz w:val="24"/>
      <w:szCs w:val="24"/>
      <w:lang w:val="en-US" w:eastAsia="en-US"/>
    </w:rPr>
  </w:style>
  <w:style w:type="paragraph" w:styleId="Paragrafoelenco">
    <w:name w:val="List Paragraph"/>
    <w:basedOn w:val="Normale"/>
    <w:uiPriority w:val="34"/>
    <w:qFormat/>
    <w:rsid w:val="000954B0"/>
    <w:pPr>
      <w:ind w:left="708"/>
    </w:pPr>
  </w:style>
  <w:style w:type="paragraph" w:styleId="Testonotaapidipagina">
    <w:name w:val="footnote text"/>
    <w:basedOn w:val="Normale"/>
    <w:link w:val="TestonotaapidipaginaCarattere"/>
    <w:locked/>
    <w:rsid w:val="00C9599B"/>
    <w:rPr>
      <w:sz w:val="20"/>
      <w:szCs w:val="20"/>
    </w:rPr>
  </w:style>
  <w:style w:type="character" w:customStyle="1" w:styleId="TestonotaapidipaginaCarattere">
    <w:name w:val="Testo nota a piè di pagina Carattere"/>
    <w:link w:val="Testonotaapidipagina"/>
    <w:rsid w:val="00C9599B"/>
    <w:rPr>
      <w:lang w:val="en-US" w:eastAsia="en-US"/>
    </w:rPr>
  </w:style>
  <w:style w:type="character" w:styleId="Rimandonotaapidipagina">
    <w:name w:val="footnote reference"/>
    <w:locked/>
    <w:rsid w:val="00C9599B"/>
    <w:rPr>
      <w:vertAlign w:val="superscript"/>
    </w:rPr>
  </w:style>
  <w:style w:type="character" w:styleId="Rimandocommento">
    <w:name w:val="annotation reference"/>
    <w:uiPriority w:val="99"/>
    <w:locked/>
    <w:rsid w:val="00FB26B1"/>
    <w:rPr>
      <w:sz w:val="16"/>
      <w:szCs w:val="16"/>
    </w:rPr>
  </w:style>
  <w:style w:type="paragraph" w:styleId="Testocommento">
    <w:name w:val="annotation text"/>
    <w:basedOn w:val="Normale"/>
    <w:link w:val="TestocommentoCarattere"/>
    <w:locked/>
    <w:rsid w:val="00FB26B1"/>
    <w:rPr>
      <w:sz w:val="20"/>
      <w:szCs w:val="20"/>
    </w:rPr>
  </w:style>
  <w:style w:type="character" w:customStyle="1" w:styleId="TestocommentoCarattere">
    <w:name w:val="Testo commento Carattere"/>
    <w:link w:val="Testocommento"/>
    <w:rsid w:val="00FB26B1"/>
    <w:rPr>
      <w:lang w:val="en-US" w:eastAsia="en-US"/>
    </w:rPr>
  </w:style>
  <w:style w:type="paragraph" w:styleId="Soggettocommento">
    <w:name w:val="annotation subject"/>
    <w:basedOn w:val="Testocommento"/>
    <w:next w:val="Testocommento"/>
    <w:link w:val="SoggettocommentoCarattere"/>
    <w:locked/>
    <w:rsid w:val="00FB26B1"/>
    <w:rPr>
      <w:b/>
      <w:bCs/>
    </w:rPr>
  </w:style>
  <w:style w:type="character" w:customStyle="1" w:styleId="SoggettocommentoCarattere">
    <w:name w:val="Soggetto commento Carattere"/>
    <w:link w:val="Soggettocommento"/>
    <w:rsid w:val="00FB26B1"/>
    <w:rPr>
      <w:b/>
      <w:bCs/>
      <w:lang w:val="en-US" w:eastAsia="en-US"/>
    </w:rPr>
  </w:style>
  <w:style w:type="paragraph" w:styleId="Testofumetto">
    <w:name w:val="Balloon Text"/>
    <w:basedOn w:val="Normale"/>
    <w:link w:val="TestofumettoCarattere"/>
    <w:locked/>
    <w:rsid w:val="00FB26B1"/>
    <w:rPr>
      <w:rFonts w:ascii="Tahoma" w:hAnsi="Tahoma" w:cs="Tahoma"/>
      <w:sz w:val="16"/>
      <w:szCs w:val="16"/>
    </w:rPr>
  </w:style>
  <w:style w:type="character" w:customStyle="1" w:styleId="TestofumettoCarattere">
    <w:name w:val="Testo fumetto Carattere"/>
    <w:link w:val="Testofumetto"/>
    <w:rsid w:val="00FB26B1"/>
    <w:rPr>
      <w:rFonts w:ascii="Tahoma" w:hAnsi="Tahoma" w:cs="Tahoma"/>
      <w:sz w:val="16"/>
      <w:szCs w:val="16"/>
      <w:lang w:val="en-US" w:eastAsia="en-US"/>
    </w:rPr>
  </w:style>
  <w:style w:type="paragraph" w:customStyle="1" w:styleId="Default">
    <w:name w:val="Default"/>
    <w:rsid w:val="00016263"/>
    <w:pPr>
      <w:autoSpaceDE w:val="0"/>
      <w:autoSpaceDN w:val="0"/>
      <w:adjustRightInd w:val="0"/>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bered">
    <w:name w:val="Numbered"/>
    <w:pPr>
      <w:numPr>
        <w:numId w:val="1"/>
      </w:numPr>
    </w:pPr>
  </w:style>
  <w:style w:type="paragraph" w:styleId="Intestazione">
    <w:name w:val="header"/>
    <w:basedOn w:val="Normale"/>
    <w:link w:val="IntestazioneCarattere"/>
    <w:locked/>
    <w:rsid w:val="006B19FE"/>
    <w:pPr>
      <w:tabs>
        <w:tab w:val="center" w:pos="4819"/>
        <w:tab w:val="right" w:pos="9638"/>
      </w:tabs>
    </w:pPr>
  </w:style>
  <w:style w:type="character" w:customStyle="1" w:styleId="IntestazioneCarattere">
    <w:name w:val="Intestazione Carattere"/>
    <w:link w:val="Intestazione"/>
    <w:rsid w:val="006B19FE"/>
    <w:rPr>
      <w:sz w:val="24"/>
      <w:szCs w:val="24"/>
      <w:lang w:val="en-US" w:eastAsia="en-US"/>
    </w:rPr>
  </w:style>
  <w:style w:type="paragraph" w:styleId="Pidipagina">
    <w:name w:val="footer"/>
    <w:basedOn w:val="Normale"/>
    <w:link w:val="PidipaginaCarattere"/>
    <w:uiPriority w:val="99"/>
    <w:locked/>
    <w:rsid w:val="006B19FE"/>
    <w:pPr>
      <w:tabs>
        <w:tab w:val="center" w:pos="4819"/>
        <w:tab w:val="right" w:pos="9638"/>
      </w:tabs>
    </w:pPr>
  </w:style>
  <w:style w:type="character" w:customStyle="1" w:styleId="PidipaginaCarattere">
    <w:name w:val="Piè di pagina Carattere"/>
    <w:link w:val="Pidipagina"/>
    <w:uiPriority w:val="99"/>
    <w:rsid w:val="006B19FE"/>
    <w:rPr>
      <w:sz w:val="24"/>
      <w:szCs w:val="24"/>
      <w:lang w:val="en-US" w:eastAsia="en-US"/>
    </w:rPr>
  </w:style>
  <w:style w:type="paragraph" w:styleId="Paragrafoelenco">
    <w:name w:val="List Paragraph"/>
    <w:basedOn w:val="Normale"/>
    <w:uiPriority w:val="34"/>
    <w:qFormat/>
    <w:rsid w:val="000954B0"/>
    <w:pPr>
      <w:ind w:left="708"/>
    </w:pPr>
  </w:style>
  <w:style w:type="paragraph" w:styleId="Testonotaapidipagina">
    <w:name w:val="footnote text"/>
    <w:basedOn w:val="Normale"/>
    <w:link w:val="TestonotaapidipaginaCarattere"/>
    <w:locked/>
    <w:rsid w:val="00C9599B"/>
    <w:rPr>
      <w:sz w:val="20"/>
      <w:szCs w:val="20"/>
    </w:rPr>
  </w:style>
  <w:style w:type="character" w:customStyle="1" w:styleId="TestonotaapidipaginaCarattere">
    <w:name w:val="Testo nota a piè di pagina Carattere"/>
    <w:link w:val="Testonotaapidipagina"/>
    <w:rsid w:val="00C9599B"/>
    <w:rPr>
      <w:lang w:val="en-US" w:eastAsia="en-US"/>
    </w:rPr>
  </w:style>
  <w:style w:type="character" w:styleId="Rimandonotaapidipagina">
    <w:name w:val="footnote reference"/>
    <w:locked/>
    <w:rsid w:val="00C9599B"/>
    <w:rPr>
      <w:vertAlign w:val="superscript"/>
    </w:rPr>
  </w:style>
  <w:style w:type="character" w:styleId="Rimandocommento">
    <w:name w:val="annotation reference"/>
    <w:uiPriority w:val="99"/>
    <w:locked/>
    <w:rsid w:val="00FB26B1"/>
    <w:rPr>
      <w:sz w:val="16"/>
      <w:szCs w:val="16"/>
    </w:rPr>
  </w:style>
  <w:style w:type="paragraph" w:styleId="Testocommento">
    <w:name w:val="annotation text"/>
    <w:basedOn w:val="Normale"/>
    <w:link w:val="TestocommentoCarattere"/>
    <w:locked/>
    <w:rsid w:val="00FB26B1"/>
    <w:rPr>
      <w:sz w:val="20"/>
      <w:szCs w:val="20"/>
    </w:rPr>
  </w:style>
  <w:style w:type="character" w:customStyle="1" w:styleId="TestocommentoCarattere">
    <w:name w:val="Testo commento Carattere"/>
    <w:link w:val="Testocommento"/>
    <w:rsid w:val="00FB26B1"/>
    <w:rPr>
      <w:lang w:val="en-US" w:eastAsia="en-US"/>
    </w:rPr>
  </w:style>
  <w:style w:type="paragraph" w:styleId="Soggettocommento">
    <w:name w:val="annotation subject"/>
    <w:basedOn w:val="Testocommento"/>
    <w:next w:val="Testocommento"/>
    <w:link w:val="SoggettocommentoCarattere"/>
    <w:locked/>
    <w:rsid w:val="00FB26B1"/>
    <w:rPr>
      <w:b/>
      <w:bCs/>
    </w:rPr>
  </w:style>
  <w:style w:type="character" w:customStyle="1" w:styleId="SoggettocommentoCarattere">
    <w:name w:val="Soggetto commento Carattere"/>
    <w:link w:val="Soggettocommento"/>
    <w:rsid w:val="00FB26B1"/>
    <w:rPr>
      <w:b/>
      <w:bCs/>
      <w:lang w:val="en-US" w:eastAsia="en-US"/>
    </w:rPr>
  </w:style>
  <w:style w:type="paragraph" w:styleId="Testofumetto">
    <w:name w:val="Balloon Text"/>
    <w:basedOn w:val="Normale"/>
    <w:link w:val="TestofumettoCarattere"/>
    <w:locked/>
    <w:rsid w:val="00FB26B1"/>
    <w:rPr>
      <w:rFonts w:ascii="Tahoma" w:hAnsi="Tahoma" w:cs="Tahoma"/>
      <w:sz w:val="16"/>
      <w:szCs w:val="16"/>
    </w:rPr>
  </w:style>
  <w:style w:type="character" w:customStyle="1" w:styleId="TestofumettoCarattere">
    <w:name w:val="Testo fumetto Carattere"/>
    <w:link w:val="Testofumetto"/>
    <w:rsid w:val="00FB26B1"/>
    <w:rPr>
      <w:rFonts w:ascii="Tahoma" w:hAnsi="Tahoma" w:cs="Tahoma"/>
      <w:sz w:val="16"/>
      <w:szCs w:val="16"/>
      <w:lang w:val="en-US" w:eastAsia="en-US"/>
    </w:rPr>
  </w:style>
  <w:style w:type="paragraph" w:customStyle="1" w:styleId="Default">
    <w:name w:val="Default"/>
    <w:rsid w:val="00016263"/>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180029">
      <w:bodyDiv w:val="1"/>
      <w:marLeft w:val="0"/>
      <w:marRight w:val="0"/>
      <w:marTop w:val="0"/>
      <w:marBottom w:val="0"/>
      <w:divBdr>
        <w:top w:val="none" w:sz="0" w:space="0" w:color="auto"/>
        <w:left w:val="none" w:sz="0" w:space="0" w:color="auto"/>
        <w:bottom w:val="none" w:sz="0" w:space="0" w:color="auto"/>
        <w:right w:val="none" w:sz="0" w:space="0" w:color="auto"/>
      </w:divBdr>
    </w:div>
    <w:div w:id="1222251294">
      <w:bodyDiv w:val="1"/>
      <w:marLeft w:val="0"/>
      <w:marRight w:val="0"/>
      <w:marTop w:val="0"/>
      <w:marBottom w:val="0"/>
      <w:divBdr>
        <w:top w:val="none" w:sz="0" w:space="0" w:color="auto"/>
        <w:left w:val="none" w:sz="0" w:space="0" w:color="auto"/>
        <w:bottom w:val="none" w:sz="0" w:space="0" w:color="auto"/>
        <w:right w:val="none" w:sz="0" w:space="0" w:color="auto"/>
      </w:divBdr>
    </w:div>
    <w:div w:id="1823815774">
      <w:bodyDiv w:val="1"/>
      <w:marLeft w:val="0"/>
      <w:marRight w:val="0"/>
      <w:marTop w:val="0"/>
      <w:marBottom w:val="0"/>
      <w:divBdr>
        <w:top w:val="none" w:sz="0" w:space="0" w:color="auto"/>
        <w:left w:val="none" w:sz="0" w:space="0" w:color="auto"/>
        <w:bottom w:val="none" w:sz="0" w:space="0" w:color="auto"/>
        <w:right w:val="none" w:sz="0" w:space="0" w:color="auto"/>
      </w:divBdr>
    </w:div>
    <w:div w:id="1932859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34816-7C7E-48B4-8419-7D346D7F7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2054</Words>
  <Characters>11709</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13736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Vitale Maria Rosaria</dc:creator>
  <cp:lastModifiedBy>Damato Saverio</cp:lastModifiedBy>
  <cp:revision>2</cp:revision>
  <dcterms:created xsi:type="dcterms:W3CDTF">2015-05-27T10:41:00Z</dcterms:created>
  <dcterms:modified xsi:type="dcterms:W3CDTF">2015-05-27T10:41:00Z</dcterms:modified>
</cp:coreProperties>
</file>